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99D1FA" w14:textId="77777777" w:rsidR="00A3534F" w:rsidRPr="00AB1C80" w:rsidRDefault="00A3534F" w:rsidP="00AB1C80">
      <w:pPr>
        <w:spacing w:line="276" w:lineRule="auto"/>
        <w:jc w:val="center"/>
        <w:rPr>
          <w:rFonts w:cs="Arial"/>
          <w:color w:val="000000" w:themeColor="text1"/>
          <w:sz w:val="36"/>
          <w:szCs w:val="36"/>
        </w:rPr>
      </w:pPr>
    </w:p>
    <w:p w14:paraId="274ABC9B" w14:textId="077F297E" w:rsidR="00146084" w:rsidRPr="00AB1C80" w:rsidRDefault="00146084" w:rsidP="00AB1C80">
      <w:pPr>
        <w:spacing w:line="276" w:lineRule="auto"/>
        <w:jc w:val="center"/>
        <w:rPr>
          <w:rFonts w:cs="Arial"/>
          <w:color w:val="000000" w:themeColor="text1"/>
          <w:sz w:val="36"/>
          <w:szCs w:val="36"/>
        </w:rPr>
      </w:pPr>
      <w:r w:rsidRPr="00AB1C80">
        <w:rPr>
          <w:rFonts w:cs="Arial"/>
          <w:color w:val="000000" w:themeColor="text1"/>
          <w:sz w:val="36"/>
          <w:szCs w:val="36"/>
        </w:rPr>
        <w:t>CONTRATO DE CONSULTORÍA GGC-</w:t>
      </w:r>
      <w:r w:rsidR="00F12CB2" w:rsidRPr="00AB1C80">
        <w:rPr>
          <w:rFonts w:cs="Arial"/>
          <w:color w:val="000000" w:themeColor="text1"/>
          <w:sz w:val="36"/>
          <w:szCs w:val="36"/>
        </w:rPr>
        <w:t>606</w:t>
      </w:r>
      <w:r w:rsidRPr="00AB1C80">
        <w:rPr>
          <w:rFonts w:cs="Arial"/>
          <w:color w:val="000000" w:themeColor="text1"/>
          <w:sz w:val="36"/>
          <w:szCs w:val="36"/>
        </w:rPr>
        <w:t>-202</w:t>
      </w:r>
      <w:r w:rsidR="004B43AD" w:rsidRPr="00AB1C80">
        <w:rPr>
          <w:rFonts w:cs="Arial"/>
          <w:color w:val="000000" w:themeColor="text1"/>
          <w:sz w:val="36"/>
          <w:szCs w:val="36"/>
        </w:rPr>
        <w:t>1</w:t>
      </w:r>
    </w:p>
    <w:p w14:paraId="793254C1" w14:textId="77777777" w:rsidR="00146084" w:rsidRPr="00AB1C80" w:rsidRDefault="00146084" w:rsidP="00AB1C80">
      <w:pPr>
        <w:spacing w:line="276" w:lineRule="auto"/>
        <w:jc w:val="center"/>
        <w:rPr>
          <w:rFonts w:cs="Arial"/>
          <w:b/>
          <w:color w:val="000000" w:themeColor="text1"/>
          <w:szCs w:val="24"/>
        </w:rPr>
      </w:pPr>
    </w:p>
    <w:p w14:paraId="1AEA7723" w14:textId="59193FFB" w:rsidR="00146084" w:rsidRPr="00AB1C80" w:rsidRDefault="00146084" w:rsidP="00AB1C80">
      <w:pPr>
        <w:spacing w:line="276" w:lineRule="auto"/>
        <w:jc w:val="center"/>
        <w:rPr>
          <w:rFonts w:cs="Arial"/>
          <w:b/>
          <w:color w:val="000000" w:themeColor="text1"/>
          <w:szCs w:val="24"/>
        </w:rPr>
      </w:pPr>
    </w:p>
    <w:p w14:paraId="38B86A0F" w14:textId="15C98E2E" w:rsidR="00A3534F" w:rsidRPr="00AB1C80" w:rsidRDefault="00A3534F" w:rsidP="00AB1C80">
      <w:pPr>
        <w:spacing w:line="276" w:lineRule="auto"/>
        <w:jc w:val="center"/>
        <w:rPr>
          <w:rFonts w:cs="Arial"/>
          <w:b/>
          <w:color w:val="000000" w:themeColor="text1"/>
          <w:szCs w:val="24"/>
        </w:rPr>
      </w:pPr>
    </w:p>
    <w:p w14:paraId="70602E2F" w14:textId="77777777" w:rsidR="00A3534F" w:rsidRPr="00AB1C80" w:rsidRDefault="00A3534F" w:rsidP="00AB1C80">
      <w:pPr>
        <w:spacing w:line="276" w:lineRule="auto"/>
        <w:jc w:val="center"/>
        <w:rPr>
          <w:rFonts w:cs="Arial"/>
          <w:b/>
          <w:color w:val="000000" w:themeColor="text1"/>
          <w:szCs w:val="24"/>
        </w:rPr>
      </w:pPr>
    </w:p>
    <w:p w14:paraId="2FE9397B" w14:textId="25385C19" w:rsidR="00146084" w:rsidRPr="00AB1C80" w:rsidRDefault="00F12CB2" w:rsidP="00AB1C80">
      <w:pPr>
        <w:spacing w:line="276" w:lineRule="auto"/>
        <w:jc w:val="center"/>
        <w:rPr>
          <w:rFonts w:cs="Arial"/>
          <w:b/>
          <w:color w:val="000000" w:themeColor="text1"/>
          <w:szCs w:val="24"/>
        </w:rPr>
      </w:pPr>
      <w:r w:rsidRPr="00AB1C80">
        <w:rPr>
          <w:rFonts w:cs="Arial"/>
          <w:b/>
          <w:bCs/>
          <w:color w:val="000000" w:themeColor="text1"/>
          <w:szCs w:val="24"/>
        </w:rPr>
        <w:t>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p>
    <w:p w14:paraId="214EED44" w14:textId="77777777" w:rsidR="00146084" w:rsidRPr="00AB1C80" w:rsidRDefault="00146084" w:rsidP="00AB1C80">
      <w:pPr>
        <w:spacing w:line="276" w:lineRule="auto"/>
        <w:jc w:val="center"/>
        <w:rPr>
          <w:rFonts w:cs="Arial"/>
          <w:b/>
          <w:color w:val="000000" w:themeColor="text1"/>
          <w:szCs w:val="24"/>
        </w:rPr>
      </w:pPr>
    </w:p>
    <w:p w14:paraId="6BF10B6A" w14:textId="77777777" w:rsidR="00146084" w:rsidRPr="00AB1C80" w:rsidRDefault="00146084" w:rsidP="00AB1C80">
      <w:pPr>
        <w:spacing w:line="276" w:lineRule="auto"/>
        <w:jc w:val="center"/>
        <w:rPr>
          <w:rFonts w:cs="Arial"/>
          <w:b/>
          <w:color w:val="000000" w:themeColor="text1"/>
          <w:szCs w:val="24"/>
        </w:rPr>
      </w:pPr>
    </w:p>
    <w:p w14:paraId="194FC6D0" w14:textId="77777777" w:rsidR="00146084" w:rsidRPr="00AB1C80" w:rsidRDefault="00146084" w:rsidP="00AB1C80">
      <w:pPr>
        <w:spacing w:line="276" w:lineRule="auto"/>
        <w:jc w:val="center"/>
        <w:rPr>
          <w:rFonts w:cs="Arial"/>
          <w:b/>
          <w:color w:val="000000" w:themeColor="text1"/>
          <w:szCs w:val="24"/>
        </w:rPr>
      </w:pPr>
    </w:p>
    <w:p w14:paraId="248AE338" w14:textId="77777777" w:rsidR="00146084" w:rsidRPr="00AB1C80" w:rsidRDefault="00146084" w:rsidP="00AB1C80">
      <w:pPr>
        <w:spacing w:line="276" w:lineRule="auto"/>
        <w:jc w:val="center"/>
        <w:rPr>
          <w:rFonts w:cs="Arial"/>
          <w:b/>
          <w:color w:val="000000" w:themeColor="text1"/>
          <w:szCs w:val="24"/>
        </w:rPr>
      </w:pPr>
    </w:p>
    <w:p w14:paraId="7F3BA405" w14:textId="77777777" w:rsidR="00146084" w:rsidRPr="00AB1C80" w:rsidRDefault="00146084" w:rsidP="00AB1C80">
      <w:pPr>
        <w:spacing w:line="276" w:lineRule="auto"/>
        <w:jc w:val="center"/>
        <w:rPr>
          <w:rFonts w:cs="Arial"/>
          <w:b/>
          <w:color w:val="000000" w:themeColor="text1"/>
          <w:szCs w:val="24"/>
        </w:rPr>
      </w:pPr>
    </w:p>
    <w:p w14:paraId="2E105B5D" w14:textId="77777777" w:rsidR="00146084" w:rsidRPr="00AB1C80" w:rsidRDefault="00146084" w:rsidP="00AB1C80">
      <w:pPr>
        <w:spacing w:line="276" w:lineRule="auto"/>
        <w:jc w:val="center"/>
        <w:rPr>
          <w:rFonts w:cs="Arial"/>
          <w:b/>
          <w:color w:val="000000" w:themeColor="text1"/>
          <w:szCs w:val="24"/>
        </w:rPr>
      </w:pPr>
    </w:p>
    <w:p w14:paraId="448DC8E4" w14:textId="77777777" w:rsidR="00146084" w:rsidRPr="00AB1C80" w:rsidRDefault="00146084" w:rsidP="00AB1C80">
      <w:pPr>
        <w:spacing w:line="276" w:lineRule="auto"/>
        <w:jc w:val="center"/>
        <w:rPr>
          <w:rFonts w:cs="Arial"/>
          <w:b/>
          <w:color w:val="000000" w:themeColor="text1"/>
          <w:szCs w:val="24"/>
        </w:rPr>
      </w:pPr>
    </w:p>
    <w:p w14:paraId="0E609EF5" w14:textId="77777777" w:rsidR="00146084" w:rsidRPr="00AB1C80" w:rsidRDefault="00146084" w:rsidP="00AB1C80">
      <w:pPr>
        <w:spacing w:line="276" w:lineRule="auto"/>
        <w:jc w:val="center"/>
        <w:rPr>
          <w:rFonts w:cs="Arial"/>
          <w:b/>
          <w:color w:val="000000" w:themeColor="text1"/>
          <w:szCs w:val="24"/>
        </w:rPr>
      </w:pPr>
    </w:p>
    <w:p w14:paraId="2BBEE576" w14:textId="77777777" w:rsidR="00146084" w:rsidRPr="00AB1C80" w:rsidRDefault="00146084" w:rsidP="00AB1C80">
      <w:pPr>
        <w:spacing w:line="276" w:lineRule="auto"/>
        <w:jc w:val="center"/>
        <w:rPr>
          <w:rFonts w:cs="Arial"/>
          <w:color w:val="000000" w:themeColor="text1"/>
          <w:sz w:val="36"/>
          <w:szCs w:val="36"/>
        </w:rPr>
      </w:pPr>
      <w:r w:rsidRPr="00AB1C80">
        <w:rPr>
          <w:rFonts w:cs="Arial"/>
          <w:color w:val="000000" w:themeColor="text1"/>
          <w:sz w:val="36"/>
          <w:szCs w:val="36"/>
        </w:rPr>
        <w:t>ENTREGABLE N°2</w:t>
      </w:r>
    </w:p>
    <w:p w14:paraId="5575AC25" w14:textId="77777777" w:rsidR="00146084" w:rsidRPr="00AB1C80" w:rsidRDefault="00146084" w:rsidP="00AB1C80">
      <w:pPr>
        <w:spacing w:line="276" w:lineRule="auto"/>
        <w:jc w:val="center"/>
        <w:rPr>
          <w:rFonts w:cs="Arial"/>
          <w:b/>
          <w:color w:val="000000" w:themeColor="text1"/>
          <w:sz w:val="36"/>
          <w:szCs w:val="36"/>
        </w:rPr>
      </w:pPr>
    </w:p>
    <w:p w14:paraId="1E59DDD6" w14:textId="77777777" w:rsidR="00146084" w:rsidRPr="00AB1C80" w:rsidRDefault="00146084" w:rsidP="00AB1C80">
      <w:pPr>
        <w:spacing w:line="276" w:lineRule="auto"/>
        <w:jc w:val="center"/>
        <w:rPr>
          <w:rFonts w:cs="Arial"/>
          <w:b/>
          <w:color w:val="000000" w:themeColor="text1"/>
          <w:sz w:val="36"/>
          <w:szCs w:val="36"/>
        </w:rPr>
      </w:pPr>
    </w:p>
    <w:p w14:paraId="78A01EC6" w14:textId="77777777" w:rsidR="00146084" w:rsidRPr="00AB1C80" w:rsidRDefault="00146084" w:rsidP="00AB1C80">
      <w:pPr>
        <w:spacing w:line="276" w:lineRule="auto"/>
        <w:jc w:val="center"/>
        <w:rPr>
          <w:rFonts w:cs="Arial"/>
          <w:b/>
          <w:color w:val="000000" w:themeColor="text1"/>
          <w:sz w:val="36"/>
          <w:szCs w:val="36"/>
        </w:rPr>
      </w:pPr>
    </w:p>
    <w:p w14:paraId="31C98F70" w14:textId="77777777"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 w:val="36"/>
          <w:szCs w:val="36"/>
        </w:rPr>
        <w:t>INFORME RECOPILACIÓN DE INFORMACIÓN</w:t>
      </w:r>
    </w:p>
    <w:p w14:paraId="1C9078C2" w14:textId="77777777" w:rsidR="00146084" w:rsidRPr="00AB1C80" w:rsidRDefault="00146084" w:rsidP="00AB1C80">
      <w:pPr>
        <w:spacing w:line="276" w:lineRule="auto"/>
        <w:jc w:val="center"/>
        <w:rPr>
          <w:rFonts w:cs="Arial"/>
          <w:b/>
          <w:color w:val="000000" w:themeColor="text1"/>
          <w:szCs w:val="24"/>
        </w:rPr>
      </w:pPr>
    </w:p>
    <w:p w14:paraId="6D755F60" w14:textId="77777777" w:rsidR="00146084" w:rsidRPr="00AB1C80" w:rsidRDefault="00146084" w:rsidP="00AB1C80">
      <w:pPr>
        <w:spacing w:line="276" w:lineRule="auto"/>
        <w:jc w:val="center"/>
        <w:rPr>
          <w:rFonts w:cs="Arial"/>
          <w:b/>
          <w:color w:val="000000" w:themeColor="text1"/>
          <w:szCs w:val="24"/>
        </w:rPr>
      </w:pPr>
    </w:p>
    <w:p w14:paraId="4AD8C8DB" w14:textId="77777777" w:rsidR="00146084" w:rsidRPr="00AB1C80" w:rsidRDefault="00146084" w:rsidP="00AB1C80">
      <w:pPr>
        <w:spacing w:line="276" w:lineRule="auto"/>
        <w:jc w:val="center"/>
        <w:rPr>
          <w:rFonts w:cs="Arial"/>
          <w:b/>
          <w:color w:val="000000" w:themeColor="text1"/>
          <w:szCs w:val="24"/>
        </w:rPr>
      </w:pPr>
    </w:p>
    <w:p w14:paraId="1911EEDA" w14:textId="77777777" w:rsidR="00146084" w:rsidRPr="00AB1C80" w:rsidRDefault="00146084" w:rsidP="00AB1C80">
      <w:pPr>
        <w:spacing w:line="276" w:lineRule="auto"/>
        <w:jc w:val="center"/>
        <w:rPr>
          <w:rFonts w:cs="Arial"/>
          <w:b/>
          <w:color w:val="000000" w:themeColor="text1"/>
          <w:szCs w:val="24"/>
        </w:rPr>
      </w:pPr>
    </w:p>
    <w:p w14:paraId="6004D0B3" w14:textId="77777777" w:rsidR="00146084" w:rsidRPr="00AB1C80" w:rsidRDefault="00146084" w:rsidP="00AB1C80">
      <w:pPr>
        <w:spacing w:line="276" w:lineRule="auto"/>
        <w:jc w:val="center"/>
        <w:rPr>
          <w:rFonts w:cs="Arial"/>
          <w:b/>
          <w:color w:val="000000" w:themeColor="text1"/>
          <w:szCs w:val="24"/>
        </w:rPr>
      </w:pPr>
    </w:p>
    <w:p w14:paraId="33C74303" w14:textId="77777777" w:rsidR="00146084" w:rsidRPr="00AB1C80" w:rsidRDefault="00146084" w:rsidP="00AB1C80">
      <w:pPr>
        <w:spacing w:line="276" w:lineRule="auto"/>
        <w:jc w:val="center"/>
        <w:rPr>
          <w:rFonts w:cs="Arial"/>
          <w:b/>
          <w:color w:val="000000" w:themeColor="text1"/>
          <w:szCs w:val="24"/>
        </w:rPr>
      </w:pPr>
    </w:p>
    <w:p w14:paraId="7E6297B6" w14:textId="77777777" w:rsidR="00146084" w:rsidRPr="00AB1C80" w:rsidRDefault="00146084" w:rsidP="00AB1C80">
      <w:pPr>
        <w:spacing w:line="276" w:lineRule="auto"/>
        <w:jc w:val="center"/>
        <w:rPr>
          <w:rFonts w:cs="Arial"/>
          <w:b/>
          <w:color w:val="000000" w:themeColor="text1"/>
          <w:szCs w:val="24"/>
        </w:rPr>
      </w:pPr>
    </w:p>
    <w:p w14:paraId="220A8CA4" w14:textId="7E4365D9"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Cs w:val="24"/>
        </w:rPr>
        <w:t>Bogotá D.C.</w:t>
      </w:r>
    </w:p>
    <w:p w14:paraId="796E2EBE" w14:textId="27A1A2E8" w:rsidR="00146084" w:rsidRPr="00AB1C80" w:rsidRDefault="00F12CB2" w:rsidP="00AB1C80">
      <w:pPr>
        <w:spacing w:line="276" w:lineRule="auto"/>
        <w:jc w:val="center"/>
        <w:rPr>
          <w:rFonts w:cs="Arial"/>
          <w:b/>
          <w:color w:val="000000" w:themeColor="text1"/>
          <w:szCs w:val="24"/>
        </w:rPr>
      </w:pPr>
      <w:r w:rsidRPr="00AB1C80">
        <w:rPr>
          <w:rFonts w:cs="Arial"/>
          <w:b/>
          <w:color w:val="000000" w:themeColor="text1"/>
          <w:szCs w:val="24"/>
        </w:rPr>
        <w:t>Octubre</w:t>
      </w:r>
      <w:r w:rsidR="00146084" w:rsidRPr="00AB1C80">
        <w:rPr>
          <w:rFonts w:cs="Arial"/>
          <w:b/>
          <w:color w:val="000000" w:themeColor="text1"/>
          <w:szCs w:val="24"/>
        </w:rPr>
        <w:t xml:space="preserve"> </w:t>
      </w:r>
      <w:r w:rsidRPr="00AB1C80">
        <w:rPr>
          <w:rFonts w:cs="Arial"/>
          <w:b/>
          <w:color w:val="000000" w:themeColor="text1"/>
          <w:szCs w:val="24"/>
        </w:rPr>
        <w:t>2</w:t>
      </w:r>
      <w:r w:rsidR="000F04DF" w:rsidRPr="00AB1C80">
        <w:rPr>
          <w:rFonts w:cs="Arial"/>
          <w:b/>
          <w:color w:val="000000" w:themeColor="text1"/>
          <w:szCs w:val="24"/>
        </w:rPr>
        <w:t>8</w:t>
      </w:r>
      <w:r w:rsidR="00146084" w:rsidRPr="00AB1C80">
        <w:rPr>
          <w:rFonts w:cs="Arial"/>
          <w:b/>
          <w:color w:val="000000" w:themeColor="text1"/>
          <w:szCs w:val="24"/>
        </w:rPr>
        <w:t xml:space="preserve"> de 202</w:t>
      </w:r>
      <w:r w:rsidRPr="00AB1C80">
        <w:rPr>
          <w:rFonts w:cs="Arial"/>
          <w:b/>
          <w:color w:val="000000" w:themeColor="text1"/>
          <w:szCs w:val="24"/>
        </w:rPr>
        <w:t>1</w:t>
      </w:r>
      <w:r w:rsidR="00146084" w:rsidRPr="00AB1C80">
        <w:rPr>
          <w:rFonts w:cs="Arial"/>
          <w:b/>
          <w:color w:val="000000" w:themeColor="text1"/>
          <w:szCs w:val="24"/>
        </w:rPr>
        <w:br w:type="page"/>
      </w:r>
    </w:p>
    <w:p w14:paraId="130436CC" w14:textId="196959EC" w:rsidR="00146084" w:rsidRPr="00AB1C80" w:rsidRDefault="00146084" w:rsidP="00AB1C80">
      <w:pPr>
        <w:spacing w:line="276" w:lineRule="auto"/>
        <w:jc w:val="center"/>
        <w:rPr>
          <w:rFonts w:cs="Arial"/>
          <w:b/>
          <w:color w:val="000000" w:themeColor="text1"/>
          <w:spacing w:val="20"/>
          <w:szCs w:val="24"/>
        </w:rPr>
      </w:pPr>
      <w:r w:rsidRPr="00AB1C80">
        <w:rPr>
          <w:rFonts w:cs="Arial"/>
          <w:b/>
          <w:color w:val="000000" w:themeColor="text1"/>
          <w:spacing w:val="20"/>
          <w:szCs w:val="24"/>
        </w:rPr>
        <w:lastRenderedPageBreak/>
        <w:t>TABLA DE CONTENIDO</w:t>
      </w:r>
    </w:p>
    <w:p w14:paraId="79AB79C3" w14:textId="77777777" w:rsidR="00F36645" w:rsidRPr="00AB1C80" w:rsidRDefault="00F36645" w:rsidP="00AB1C80">
      <w:pPr>
        <w:spacing w:line="276" w:lineRule="auto"/>
        <w:jc w:val="center"/>
        <w:rPr>
          <w:rFonts w:cs="Arial"/>
          <w:b/>
          <w:color w:val="000000" w:themeColor="text1"/>
          <w:spacing w:val="20"/>
          <w:szCs w:val="24"/>
        </w:rPr>
      </w:pPr>
    </w:p>
    <w:p w14:paraId="772EFD5B" w14:textId="7B12017A" w:rsidR="00AB1C80" w:rsidRPr="00AB1C80" w:rsidRDefault="00F36645">
      <w:pPr>
        <w:pStyle w:val="TDC1"/>
        <w:tabs>
          <w:tab w:val="right" w:leader="dot" w:pos="8828"/>
        </w:tabs>
        <w:rPr>
          <w:rFonts w:asciiTheme="minorHAnsi" w:eastAsiaTheme="minorEastAsia" w:hAnsiTheme="minorHAnsi"/>
          <w:b w:val="0"/>
          <w:noProof/>
          <w:lang w:eastAsia="es-CO"/>
        </w:rPr>
      </w:pPr>
      <w:r w:rsidRPr="00AB1C80">
        <w:rPr>
          <w:rFonts w:cs="Arial"/>
          <w:b w:val="0"/>
          <w:color w:val="000000" w:themeColor="text1"/>
          <w:spacing w:val="20"/>
          <w:szCs w:val="24"/>
        </w:rPr>
        <w:fldChar w:fldCharType="begin"/>
      </w:r>
      <w:r w:rsidRPr="00AB1C80">
        <w:rPr>
          <w:rFonts w:cs="Arial"/>
          <w:b w:val="0"/>
          <w:color w:val="000000" w:themeColor="text1"/>
          <w:spacing w:val="20"/>
          <w:szCs w:val="24"/>
        </w:rPr>
        <w:instrText xml:space="preserve"> TOC \o "1-5" \h \z \u </w:instrText>
      </w:r>
      <w:r w:rsidRPr="00AB1C80">
        <w:rPr>
          <w:rFonts w:cs="Arial"/>
          <w:b w:val="0"/>
          <w:color w:val="000000" w:themeColor="text1"/>
          <w:spacing w:val="20"/>
          <w:szCs w:val="24"/>
        </w:rPr>
        <w:fldChar w:fldCharType="separate"/>
      </w:r>
      <w:hyperlink w:anchor="_Toc86332909" w:history="1">
        <w:r w:rsidR="00AB1C80" w:rsidRPr="00AB1C80">
          <w:rPr>
            <w:rStyle w:val="Hipervnculo"/>
            <w:rFonts w:cs="Arial"/>
            <w:noProof/>
          </w:rPr>
          <w:t>INTRODUCCIÓN</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_Toc86332909 \h </w:instrText>
        </w:r>
        <w:r w:rsidR="00AB1C80" w:rsidRPr="00AB1C80">
          <w:rPr>
            <w:noProof/>
            <w:webHidden/>
          </w:rPr>
        </w:r>
        <w:r w:rsidR="00AB1C80" w:rsidRPr="00AB1C80">
          <w:rPr>
            <w:noProof/>
            <w:webHidden/>
          </w:rPr>
          <w:fldChar w:fldCharType="separate"/>
        </w:r>
        <w:r w:rsidR="006A4287">
          <w:rPr>
            <w:noProof/>
            <w:webHidden/>
          </w:rPr>
          <w:t>10</w:t>
        </w:r>
        <w:r w:rsidR="00AB1C80" w:rsidRPr="00AB1C80">
          <w:rPr>
            <w:noProof/>
            <w:webHidden/>
          </w:rPr>
          <w:fldChar w:fldCharType="end"/>
        </w:r>
      </w:hyperlink>
    </w:p>
    <w:p w14:paraId="60BA794D" w14:textId="76BD88F4"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10" w:history="1">
        <w:r w:rsidR="00AB1C80" w:rsidRPr="00AB1C80">
          <w:rPr>
            <w:rStyle w:val="Hipervnculo"/>
            <w:rFonts w:cs="Arial"/>
            <w:bCs/>
            <w:noProof/>
          </w:rPr>
          <w:t>1</w:t>
        </w:r>
        <w:r w:rsidR="00AB1C80" w:rsidRPr="00AB1C80">
          <w:rPr>
            <w:rFonts w:asciiTheme="minorHAnsi" w:eastAsiaTheme="minorEastAsia" w:hAnsiTheme="minorHAnsi"/>
            <w:b w:val="0"/>
            <w:noProof/>
            <w:lang w:eastAsia="es-CO"/>
          </w:rPr>
          <w:tab/>
        </w:r>
        <w:r w:rsidR="00AB1C80" w:rsidRPr="00AB1C80">
          <w:rPr>
            <w:rStyle w:val="Hipervnculo"/>
            <w:rFonts w:cs="Arial"/>
            <w:noProof/>
          </w:rPr>
          <w:t>METODOLOGÍA GENERAL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_Toc86332910 \h </w:instrText>
        </w:r>
        <w:r w:rsidR="00AB1C80" w:rsidRPr="00AB1C80">
          <w:rPr>
            <w:noProof/>
            <w:webHidden/>
          </w:rPr>
        </w:r>
        <w:r w:rsidR="00AB1C80" w:rsidRPr="00AB1C80">
          <w:rPr>
            <w:noProof/>
            <w:webHidden/>
          </w:rPr>
          <w:fldChar w:fldCharType="separate"/>
        </w:r>
        <w:r w:rsidR="006A4287">
          <w:rPr>
            <w:noProof/>
            <w:webHidden/>
          </w:rPr>
          <w:t>12</w:t>
        </w:r>
        <w:r w:rsidR="00AB1C80" w:rsidRPr="00AB1C80">
          <w:rPr>
            <w:noProof/>
            <w:webHidden/>
          </w:rPr>
          <w:fldChar w:fldCharType="end"/>
        </w:r>
      </w:hyperlink>
    </w:p>
    <w:p w14:paraId="6CCC78E1" w14:textId="638930B1"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11" w:history="1">
        <w:r w:rsidR="00AB1C80" w:rsidRPr="00AB1C80">
          <w:rPr>
            <w:rStyle w:val="Hipervnculo"/>
            <w:rFonts w:cs="Arial"/>
            <w:noProof/>
          </w:rPr>
          <w:t>1.1</w:t>
        </w:r>
        <w:r w:rsidR="00AB1C80" w:rsidRPr="00AB1C80">
          <w:rPr>
            <w:rFonts w:asciiTheme="minorHAnsi" w:eastAsiaTheme="minorEastAsia" w:hAnsiTheme="minorHAnsi"/>
            <w:noProof/>
            <w:lang w:eastAsia="es-CO"/>
          </w:rPr>
          <w:tab/>
        </w:r>
        <w:r w:rsidR="00AB1C80" w:rsidRPr="00AB1C80">
          <w:rPr>
            <w:rStyle w:val="Hipervnculo"/>
            <w:rFonts w:cs="Arial"/>
            <w:noProof/>
          </w:rPr>
          <w:t>Primera fase (información secundaria)</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_Toc86332911 \h </w:instrText>
        </w:r>
        <w:r w:rsidR="00AB1C80" w:rsidRPr="00AB1C80">
          <w:rPr>
            <w:noProof/>
            <w:webHidden/>
          </w:rPr>
        </w:r>
        <w:r w:rsidR="00AB1C80" w:rsidRPr="00AB1C80">
          <w:rPr>
            <w:noProof/>
            <w:webHidden/>
          </w:rPr>
          <w:fldChar w:fldCharType="separate"/>
        </w:r>
        <w:r w:rsidR="006A4287">
          <w:rPr>
            <w:noProof/>
            <w:webHidden/>
          </w:rPr>
          <w:t>12</w:t>
        </w:r>
        <w:r w:rsidR="00AB1C80" w:rsidRPr="00AB1C80">
          <w:rPr>
            <w:noProof/>
            <w:webHidden/>
          </w:rPr>
          <w:fldChar w:fldCharType="end"/>
        </w:r>
      </w:hyperlink>
    </w:p>
    <w:p w14:paraId="7B463DE1" w14:textId="4BDDC054"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12" w:history="1">
        <w:r w:rsidR="00AB1C80" w:rsidRPr="00AB1C80">
          <w:rPr>
            <w:rStyle w:val="Hipervnculo"/>
            <w:rFonts w:cs="Arial"/>
            <w:noProof/>
          </w:rPr>
          <w:t>1.2</w:t>
        </w:r>
        <w:r w:rsidR="00AB1C80" w:rsidRPr="00AB1C80">
          <w:rPr>
            <w:rFonts w:asciiTheme="minorHAnsi" w:eastAsiaTheme="minorEastAsia" w:hAnsiTheme="minorHAnsi"/>
            <w:noProof/>
            <w:lang w:eastAsia="es-CO"/>
          </w:rPr>
          <w:tab/>
        </w:r>
        <w:r w:rsidR="00AB1C80" w:rsidRPr="00AB1C80">
          <w:rPr>
            <w:rStyle w:val="Hipervnculo"/>
            <w:rFonts w:cs="Arial"/>
            <w:noProof/>
          </w:rPr>
          <w:t>Segunda fase (información primaria)</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_Toc86332912 \h </w:instrText>
        </w:r>
        <w:r w:rsidR="00AB1C80" w:rsidRPr="00AB1C80">
          <w:rPr>
            <w:noProof/>
            <w:webHidden/>
          </w:rPr>
        </w:r>
        <w:r w:rsidR="00AB1C80" w:rsidRPr="00AB1C80">
          <w:rPr>
            <w:noProof/>
            <w:webHidden/>
          </w:rPr>
          <w:fldChar w:fldCharType="separate"/>
        </w:r>
        <w:r w:rsidR="006A4287">
          <w:rPr>
            <w:noProof/>
            <w:webHidden/>
          </w:rPr>
          <w:t>15</w:t>
        </w:r>
        <w:r w:rsidR="00AB1C80" w:rsidRPr="00AB1C80">
          <w:rPr>
            <w:noProof/>
            <w:webHidden/>
          </w:rPr>
          <w:fldChar w:fldCharType="end"/>
        </w:r>
      </w:hyperlink>
    </w:p>
    <w:p w14:paraId="50C0E18A" w14:textId="78DB9637"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13" w:history="1">
        <w:r w:rsidR="00AB1C80" w:rsidRPr="00AB1C80">
          <w:rPr>
            <w:rStyle w:val="Hipervnculo"/>
            <w:rFonts w:cs="Arial"/>
            <w:noProof/>
          </w:rPr>
          <w:t>1.2.1</w:t>
        </w:r>
        <w:r w:rsidR="00AB1C80" w:rsidRPr="00AB1C80">
          <w:rPr>
            <w:rFonts w:asciiTheme="minorHAnsi" w:eastAsiaTheme="minorEastAsia" w:hAnsiTheme="minorHAnsi"/>
            <w:noProof/>
            <w:lang w:eastAsia="es-CO"/>
          </w:rPr>
          <w:tab/>
        </w:r>
        <w:r w:rsidR="00AB1C80" w:rsidRPr="00AB1C80">
          <w:rPr>
            <w:rStyle w:val="Hipervnculo"/>
            <w:rFonts w:cs="Arial"/>
            <w:noProof/>
          </w:rPr>
          <w:t>Empresas mineras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_Toc86332913 \h </w:instrText>
        </w:r>
        <w:r w:rsidR="00AB1C80" w:rsidRPr="00AB1C80">
          <w:rPr>
            <w:noProof/>
            <w:webHidden/>
          </w:rPr>
        </w:r>
        <w:r w:rsidR="00AB1C80" w:rsidRPr="00AB1C80">
          <w:rPr>
            <w:noProof/>
            <w:webHidden/>
          </w:rPr>
          <w:fldChar w:fldCharType="separate"/>
        </w:r>
        <w:r w:rsidR="006A4287">
          <w:rPr>
            <w:noProof/>
            <w:webHidden/>
          </w:rPr>
          <w:t>17</w:t>
        </w:r>
        <w:r w:rsidR="00AB1C80" w:rsidRPr="00AB1C80">
          <w:rPr>
            <w:noProof/>
            <w:webHidden/>
          </w:rPr>
          <w:fldChar w:fldCharType="end"/>
        </w:r>
      </w:hyperlink>
    </w:p>
    <w:p w14:paraId="12994E44" w14:textId="51E76A0A"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14" w:history="1">
        <w:r w:rsidR="00AB1C80" w:rsidRPr="00AB1C80">
          <w:rPr>
            <w:rStyle w:val="Hipervnculo"/>
            <w:rFonts w:cs="Arial"/>
            <w:noProof/>
          </w:rPr>
          <w:t>1.2.2</w:t>
        </w:r>
        <w:r w:rsidR="00AB1C80" w:rsidRPr="00AB1C80">
          <w:rPr>
            <w:rFonts w:asciiTheme="minorHAnsi" w:eastAsiaTheme="minorEastAsia" w:hAnsiTheme="minorHAnsi"/>
            <w:noProof/>
            <w:lang w:eastAsia="es-CO"/>
          </w:rPr>
          <w:tab/>
        </w:r>
        <w:r w:rsidR="00AB1C80" w:rsidRPr="00AB1C80">
          <w:rPr>
            <w:rStyle w:val="Hipervnculo"/>
            <w:rFonts w:cs="Arial"/>
            <w:noProof/>
          </w:rPr>
          <w:t>Actores mineros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_Toc86332914 \h </w:instrText>
        </w:r>
        <w:r w:rsidR="00AB1C80" w:rsidRPr="00AB1C80">
          <w:rPr>
            <w:noProof/>
            <w:webHidden/>
          </w:rPr>
        </w:r>
        <w:r w:rsidR="00AB1C80" w:rsidRPr="00AB1C80">
          <w:rPr>
            <w:noProof/>
            <w:webHidden/>
          </w:rPr>
          <w:fldChar w:fldCharType="separate"/>
        </w:r>
        <w:r w:rsidR="006A4287">
          <w:rPr>
            <w:noProof/>
            <w:webHidden/>
          </w:rPr>
          <w:t>18</w:t>
        </w:r>
        <w:r w:rsidR="00AB1C80" w:rsidRPr="00AB1C80">
          <w:rPr>
            <w:noProof/>
            <w:webHidden/>
          </w:rPr>
          <w:fldChar w:fldCharType="end"/>
        </w:r>
      </w:hyperlink>
    </w:p>
    <w:p w14:paraId="1E5C4618" w14:textId="31AFF219"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15" w:history="1">
        <w:r w:rsidR="00AB1C80" w:rsidRPr="00AB1C80">
          <w:rPr>
            <w:rStyle w:val="Hipervnculo"/>
            <w:rFonts w:cs="Arial"/>
            <w:noProof/>
          </w:rPr>
          <w:t>1.3</w:t>
        </w:r>
        <w:r w:rsidR="00AB1C80" w:rsidRPr="00AB1C80">
          <w:rPr>
            <w:rFonts w:asciiTheme="minorHAnsi" w:eastAsiaTheme="minorEastAsia" w:hAnsiTheme="minorHAnsi"/>
            <w:noProof/>
            <w:lang w:eastAsia="es-CO"/>
          </w:rPr>
          <w:tab/>
        </w:r>
        <w:r w:rsidR="00AB1C80" w:rsidRPr="00AB1C80">
          <w:rPr>
            <w:rStyle w:val="Hipervnculo"/>
            <w:rFonts w:cs="Arial"/>
            <w:noProof/>
          </w:rPr>
          <w:t>Etapas del proyecto</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_Toc86332915 \h </w:instrText>
        </w:r>
        <w:r w:rsidR="00AB1C80" w:rsidRPr="00AB1C80">
          <w:rPr>
            <w:noProof/>
            <w:webHidden/>
          </w:rPr>
        </w:r>
        <w:r w:rsidR="00AB1C80" w:rsidRPr="00AB1C80">
          <w:rPr>
            <w:noProof/>
            <w:webHidden/>
          </w:rPr>
          <w:fldChar w:fldCharType="separate"/>
        </w:r>
        <w:r w:rsidR="006A4287">
          <w:rPr>
            <w:noProof/>
            <w:webHidden/>
          </w:rPr>
          <w:t>20</w:t>
        </w:r>
        <w:r w:rsidR="00AB1C80" w:rsidRPr="00AB1C80">
          <w:rPr>
            <w:noProof/>
            <w:webHidden/>
          </w:rPr>
          <w:fldChar w:fldCharType="end"/>
        </w:r>
      </w:hyperlink>
    </w:p>
    <w:p w14:paraId="54F9D3D2" w14:textId="3D932B81"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16" w:history="1">
        <w:r w:rsidR="00AB1C80" w:rsidRPr="00AB1C80">
          <w:rPr>
            <w:rStyle w:val="Hipervnculo"/>
            <w:rFonts w:cs="Arial"/>
            <w:bCs/>
            <w:noProof/>
          </w:rPr>
          <w:t>2</w:t>
        </w:r>
        <w:r w:rsidR="00AB1C80" w:rsidRPr="00AB1C80">
          <w:rPr>
            <w:rFonts w:asciiTheme="minorHAnsi" w:eastAsiaTheme="minorEastAsia" w:hAnsiTheme="minorHAnsi"/>
            <w:b w:val="0"/>
            <w:noProof/>
            <w:lang w:eastAsia="es-CO"/>
          </w:rPr>
          <w:tab/>
        </w:r>
        <w:r w:rsidR="00AB1C80" w:rsidRPr="00AB1C80">
          <w:rPr>
            <w:rStyle w:val="Hipervnculo"/>
            <w:rFonts w:cs="Arial"/>
            <w:noProof/>
          </w:rPr>
          <w:t>DEFINICIONES SEG</w:t>
        </w:r>
        <w:r w:rsidR="00AB1C80" w:rsidRPr="00AB1C80">
          <w:rPr>
            <w:rStyle w:val="Hipervnculo"/>
            <w:rFonts w:cs="Arial"/>
            <w:noProof/>
          </w:rPr>
          <w:t>Ú</w:t>
        </w:r>
        <w:r w:rsidR="00AB1C80" w:rsidRPr="00AB1C80">
          <w:rPr>
            <w:rStyle w:val="Hipervnculo"/>
            <w:rFonts w:cs="Arial"/>
            <w:noProof/>
          </w:rPr>
          <w:t>N ANÁLISIS DOCUMENTAL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_Toc86332916 \h </w:instrText>
        </w:r>
        <w:r w:rsidR="00AB1C80" w:rsidRPr="00AB1C80">
          <w:rPr>
            <w:noProof/>
            <w:webHidden/>
          </w:rPr>
        </w:r>
        <w:r w:rsidR="00AB1C80" w:rsidRPr="00AB1C80">
          <w:rPr>
            <w:noProof/>
            <w:webHidden/>
          </w:rPr>
          <w:fldChar w:fldCharType="separate"/>
        </w:r>
        <w:r w:rsidR="006A4287">
          <w:rPr>
            <w:noProof/>
            <w:webHidden/>
          </w:rPr>
          <w:t>22</w:t>
        </w:r>
        <w:r w:rsidR="00AB1C80" w:rsidRPr="00AB1C80">
          <w:rPr>
            <w:noProof/>
            <w:webHidden/>
          </w:rPr>
          <w:fldChar w:fldCharType="end"/>
        </w:r>
      </w:hyperlink>
    </w:p>
    <w:p w14:paraId="0F3FF59C" w14:textId="4D6022E1"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17" w:history="1">
        <w:r w:rsidR="00AB1C80" w:rsidRPr="00AB1C80">
          <w:rPr>
            <w:rStyle w:val="Hipervnculo"/>
            <w:rFonts w:cs="Arial"/>
            <w:noProof/>
          </w:rPr>
          <w:t>2.1</w:t>
        </w:r>
        <w:r w:rsidR="00AB1C80" w:rsidRPr="00AB1C80">
          <w:rPr>
            <w:rFonts w:asciiTheme="minorHAnsi" w:eastAsiaTheme="minorEastAsia" w:hAnsiTheme="minorHAnsi"/>
            <w:noProof/>
            <w:lang w:eastAsia="es-CO"/>
          </w:rPr>
          <w:tab/>
        </w:r>
        <w:r w:rsidR="00AB1C80" w:rsidRPr="00AB1C80">
          <w:rPr>
            <w:rStyle w:val="Hipervnculo"/>
            <w:rFonts w:cs="Arial"/>
            <w:noProof/>
          </w:rPr>
          <w:t>Estériles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_Toc86332917 \h </w:instrText>
        </w:r>
        <w:r w:rsidR="00AB1C80" w:rsidRPr="00AB1C80">
          <w:rPr>
            <w:noProof/>
            <w:webHidden/>
          </w:rPr>
        </w:r>
        <w:r w:rsidR="00AB1C80" w:rsidRPr="00AB1C80">
          <w:rPr>
            <w:noProof/>
            <w:webHidden/>
          </w:rPr>
          <w:fldChar w:fldCharType="separate"/>
        </w:r>
        <w:r w:rsidR="006A4287">
          <w:rPr>
            <w:noProof/>
            <w:webHidden/>
          </w:rPr>
          <w:t>22</w:t>
        </w:r>
        <w:r w:rsidR="00AB1C80" w:rsidRPr="00AB1C80">
          <w:rPr>
            <w:noProof/>
            <w:webHidden/>
          </w:rPr>
          <w:fldChar w:fldCharType="end"/>
        </w:r>
      </w:hyperlink>
    </w:p>
    <w:p w14:paraId="23BE1EBE" w14:textId="086ED18B"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18" w:history="1">
        <w:r w:rsidR="00AB1C80" w:rsidRPr="00AB1C80">
          <w:rPr>
            <w:rStyle w:val="Hipervnculo"/>
            <w:rFonts w:cs="Arial"/>
            <w:noProof/>
          </w:rPr>
          <w:t>2.2</w:t>
        </w:r>
        <w:r w:rsidR="00AB1C80" w:rsidRPr="00AB1C80">
          <w:rPr>
            <w:rFonts w:asciiTheme="minorHAnsi" w:eastAsiaTheme="minorEastAsia" w:hAnsiTheme="minorHAnsi"/>
            <w:noProof/>
            <w:lang w:eastAsia="es-CO"/>
          </w:rPr>
          <w:tab/>
        </w:r>
        <w:r w:rsidR="00AB1C80" w:rsidRPr="00AB1C80">
          <w:rPr>
            <w:rStyle w:val="Hipervnculo"/>
            <w:rFonts w:cs="Arial"/>
            <w:noProof/>
          </w:rPr>
          <w:t>Econom</w:t>
        </w:r>
        <w:r w:rsidR="00AB1C80" w:rsidRPr="00AB1C80">
          <w:rPr>
            <w:rStyle w:val="Hipervnculo"/>
            <w:rFonts w:cs="Arial"/>
            <w:noProof/>
          </w:rPr>
          <w:t>í</w:t>
        </w:r>
        <w:r w:rsidR="00AB1C80" w:rsidRPr="00AB1C80">
          <w:rPr>
            <w:rStyle w:val="Hipervnculo"/>
            <w:rFonts w:cs="Arial"/>
            <w:noProof/>
          </w:rPr>
          <w:t>a Circular</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_Toc86332918 \h </w:instrText>
        </w:r>
        <w:r w:rsidR="00AB1C80" w:rsidRPr="00AB1C80">
          <w:rPr>
            <w:noProof/>
            <w:webHidden/>
          </w:rPr>
        </w:r>
        <w:r w:rsidR="00AB1C80" w:rsidRPr="00AB1C80">
          <w:rPr>
            <w:noProof/>
            <w:webHidden/>
          </w:rPr>
          <w:fldChar w:fldCharType="separate"/>
        </w:r>
        <w:r w:rsidR="006A4287">
          <w:rPr>
            <w:noProof/>
            <w:webHidden/>
          </w:rPr>
          <w:t>24</w:t>
        </w:r>
        <w:r w:rsidR="00AB1C80" w:rsidRPr="00AB1C80">
          <w:rPr>
            <w:noProof/>
            <w:webHidden/>
          </w:rPr>
          <w:fldChar w:fldCharType="end"/>
        </w:r>
      </w:hyperlink>
    </w:p>
    <w:p w14:paraId="4FAE13EC" w14:textId="2510A471"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19" w:history="1">
        <w:r w:rsidR="00AB1C80" w:rsidRPr="00AB1C80">
          <w:rPr>
            <w:rStyle w:val="Hipervnculo"/>
            <w:rFonts w:cs="Arial"/>
            <w:bCs/>
            <w:noProof/>
          </w:rPr>
          <w:t>3</w:t>
        </w:r>
        <w:r w:rsidR="00AB1C80" w:rsidRPr="00AB1C80">
          <w:rPr>
            <w:rFonts w:asciiTheme="minorHAnsi" w:eastAsiaTheme="minorEastAsia" w:hAnsiTheme="minorHAnsi"/>
            <w:b w:val="0"/>
            <w:noProof/>
            <w:lang w:eastAsia="es-CO"/>
          </w:rPr>
          <w:tab/>
        </w:r>
        <w:r w:rsidR="00AB1C80" w:rsidRPr="00AB1C80">
          <w:rPr>
            <w:rStyle w:val="Hipervnculo"/>
            <w:rFonts w:cs="Arial"/>
            <w:noProof/>
          </w:rPr>
          <w:t>RECOLECCIÓN DE INFORMACIÓN DE FUENTES SECUNDARIAS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_Toc86332919 \h </w:instrText>
        </w:r>
        <w:r w:rsidR="00AB1C80" w:rsidRPr="00AB1C80">
          <w:rPr>
            <w:noProof/>
            <w:webHidden/>
          </w:rPr>
        </w:r>
        <w:r w:rsidR="00AB1C80" w:rsidRPr="00AB1C80">
          <w:rPr>
            <w:noProof/>
            <w:webHidden/>
          </w:rPr>
          <w:fldChar w:fldCharType="separate"/>
        </w:r>
        <w:r w:rsidR="006A4287">
          <w:rPr>
            <w:noProof/>
            <w:webHidden/>
          </w:rPr>
          <w:t>30</w:t>
        </w:r>
        <w:r w:rsidR="00AB1C80" w:rsidRPr="00AB1C80">
          <w:rPr>
            <w:noProof/>
            <w:webHidden/>
          </w:rPr>
          <w:fldChar w:fldCharType="end"/>
        </w:r>
      </w:hyperlink>
    </w:p>
    <w:p w14:paraId="643F27B6" w14:textId="45F2CA25"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20" w:history="1">
        <w:r w:rsidR="00AB1C80" w:rsidRPr="00AB1C80">
          <w:rPr>
            <w:rStyle w:val="Hipervnculo"/>
            <w:rFonts w:cs="Arial"/>
            <w:noProof/>
          </w:rPr>
          <w:t>3.1</w:t>
        </w:r>
        <w:r w:rsidR="00AB1C80" w:rsidRPr="00AB1C80">
          <w:rPr>
            <w:rFonts w:asciiTheme="minorHAnsi" w:eastAsiaTheme="minorEastAsia" w:hAnsiTheme="minorHAnsi"/>
            <w:noProof/>
            <w:lang w:eastAsia="es-CO"/>
          </w:rPr>
          <w:tab/>
        </w:r>
        <w:r w:rsidR="00AB1C80" w:rsidRPr="00AB1C80">
          <w:rPr>
            <w:rStyle w:val="Hipervnculo"/>
            <w:rFonts w:cs="Arial"/>
            <w:noProof/>
          </w:rPr>
          <w:t>Información sobre gestión y manejo de estériles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_Toc86332920 \h </w:instrText>
        </w:r>
        <w:r w:rsidR="00AB1C80" w:rsidRPr="00AB1C80">
          <w:rPr>
            <w:noProof/>
            <w:webHidden/>
          </w:rPr>
        </w:r>
        <w:r w:rsidR="00AB1C80" w:rsidRPr="00AB1C80">
          <w:rPr>
            <w:noProof/>
            <w:webHidden/>
          </w:rPr>
          <w:fldChar w:fldCharType="separate"/>
        </w:r>
        <w:r w:rsidR="006A4287">
          <w:rPr>
            <w:noProof/>
            <w:webHidden/>
          </w:rPr>
          <w:t>30</w:t>
        </w:r>
        <w:r w:rsidR="00AB1C80" w:rsidRPr="00AB1C80">
          <w:rPr>
            <w:noProof/>
            <w:webHidden/>
          </w:rPr>
          <w:fldChar w:fldCharType="end"/>
        </w:r>
      </w:hyperlink>
    </w:p>
    <w:p w14:paraId="65E36F4B" w14:textId="30774AAF"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21" w:history="1">
        <w:r w:rsidR="00AB1C80" w:rsidRPr="00AB1C80">
          <w:rPr>
            <w:rStyle w:val="Hipervnculo"/>
            <w:rFonts w:cs="Arial"/>
            <w:noProof/>
          </w:rPr>
          <w:t>3.1.1</w:t>
        </w:r>
        <w:r w:rsidR="00AB1C80" w:rsidRPr="00AB1C80">
          <w:rPr>
            <w:rFonts w:asciiTheme="minorHAnsi" w:eastAsiaTheme="minorEastAsia" w:hAnsiTheme="minorHAnsi"/>
            <w:noProof/>
            <w:lang w:eastAsia="es-CO"/>
          </w:rPr>
          <w:tab/>
        </w:r>
        <w:r w:rsidR="00AB1C80" w:rsidRPr="00AB1C80">
          <w:rPr>
            <w:rStyle w:val="Hipervnculo"/>
            <w:rFonts w:cs="Arial"/>
            <w:noProof/>
          </w:rPr>
          <w:t>Temática nacional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_Toc86332921 \h </w:instrText>
        </w:r>
        <w:r w:rsidR="00AB1C80" w:rsidRPr="00AB1C80">
          <w:rPr>
            <w:noProof/>
            <w:webHidden/>
          </w:rPr>
        </w:r>
        <w:r w:rsidR="00AB1C80" w:rsidRPr="00AB1C80">
          <w:rPr>
            <w:noProof/>
            <w:webHidden/>
          </w:rPr>
          <w:fldChar w:fldCharType="separate"/>
        </w:r>
        <w:r w:rsidR="006A4287">
          <w:rPr>
            <w:noProof/>
            <w:webHidden/>
          </w:rPr>
          <w:t>31</w:t>
        </w:r>
        <w:r w:rsidR="00AB1C80" w:rsidRPr="00AB1C80">
          <w:rPr>
            <w:noProof/>
            <w:webHidden/>
          </w:rPr>
          <w:fldChar w:fldCharType="end"/>
        </w:r>
      </w:hyperlink>
    </w:p>
    <w:p w14:paraId="61318BF3" w14:textId="03FDC189"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2" w:history="1">
        <w:r w:rsidR="00AB1C80" w:rsidRPr="00AB1C80">
          <w:rPr>
            <w:rStyle w:val="Hipervnculo"/>
            <w:noProof/>
            <w:sz w:val="22"/>
          </w:rPr>
          <w:t>3.1.1.1</w:t>
        </w:r>
        <w:r w:rsidR="00AB1C80" w:rsidRPr="00AB1C80">
          <w:rPr>
            <w:rFonts w:asciiTheme="minorHAnsi" w:eastAsiaTheme="minorEastAsia" w:hAnsiTheme="minorHAnsi"/>
            <w:noProof/>
            <w:sz w:val="22"/>
            <w:lang w:eastAsia="es-CO"/>
          </w:rPr>
          <w:tab/>
        </w:r>
        <w:r w:rsidR="00AB1C80" w:rsidRPr="00AB1C80">
          <w:rPr>
            <w:rStyle w:val="Hipervnculo"/>
            <w:noProof/>
            <w:sz w:val="22"/>
          </w:rPr>
          <w:t>Documentación recopilada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_Toc86332922 \h </w:instrText>
        </w:r>
        <w:r w:rsidR="00AB1C80" w:rsidRPr="00AB1C80">
          <w:rPr>
            <w:noProof/>
            <w:webHidden/>
            <w:sz w:val="22"/>
          </w:rPr>
        </w:r>
        <w:r w:rsidR="00AB1C80" w:rsidRPr="00AB1C80">
          <w:rPr>
            <w:noProof/>
            <w:webHidden/>
            <w:sz w:val="22"/>
          </w:rPr>
          <w:fldChar w:fldCharType="separate"/>
        </w:r>
        <w:r w:rsidR="006A4287">
          <w:rPr>
            <w:noProof/>
            <w:webHidden/>
            <w:sz w:val="22"/>
          </w:rPr>
          <w:t>31</w:t>
        </w:r>
        <w:r w:rsidR="00AB1C80" w:rsidRPr="00AB1C80">
          <w:rPr>
            <w:noProof/>
            <w:webHidden/>
            <w:sz w:val="22"/>
          </w:rPr>
          <w:fldChar w:fldCharType="end"/>
        </w:r>
      </w:hyperlink>
    </w:p>
    <w:p w14:paraId="44D2E535" w14:textId="76C5C7E9"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3" w:history="1">
        <w:r w:rsidR="00AB1C80" w:rsidRPr="00AB1C80">
          <w:rPr>
            <w:rStyle w:val="Hipervnculo"/>
            <w:noProof/>
            <w:sz w:val="22"/>
          </w:rPr>
          <w:t>3.1.1.2</w:t>
        </w:r>
        <w:r w:rsidR="00AB1C80" w:rsidRPr="00AB1C80">
          <w:rPr>
            <w:rFonts w:asciiTheme="minorHAnsi" w:eastAsiaTheme="minorEastAsia" w:hAnsiTheme="minorHAnsi"/>
            <w:noProof/>
            <w:sz w:val="22"/>
            <w:lang w:eastAsia="es-CO"/>
          </w:rPr>
          <w:tab/>
        </w:r>
        <w:r w:rsidR="00AB1C80" w:rsidRPr="00AB1C80">
          <w:rPr>
            <w:rStyle w:val="Hipervnculo"/>
            <w:noProof/>
            <w:sz w:val="22"/>
          </w:rPr>
          <w:t>Análisis de la temática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_Toc86332923 \h </w:instrText>
        </w:r>
        <w:r w:rsidR="00AB1C80" w:rsidRPr="00AB1C80">
          <w:rPr>
            <w:noProof/>
            <w:webHidden/>
            <w:sz w:val="22"/>
          </w:rPr>
        </w:r>
        <w:r w:rsidR="00AB1C80" w:rsidRPr="00AB1C80">
          <w:rPr>
            <w:noProof/>
            <w:webHidden/>
            <w:sz w:val="22"/>
          </w:rPr>
          <w:fldChar w:fldCharType="separate"/>
        </w:r>
        <w:r w:rsidR="006A4287">
          <w:rPr>
            <w:noProof/>
            <w:webHidden/>
            <w:sz w:val="22"/>
          </w:rPr>
          <w:t>39</w:t>
        </w:r>
        <w:r w:rsidR="00AB1C80" w:rsidRPr="00AB1C80">
          <w:rPr>
            <w:noProof/>
            <w:webHidden/>
            <w:sz w:val="22"/>
          </w:rPr>
          <w:fldChar w:fldCharType="end"/>
        </w:r>
      </w:hyperlink>
    </w:p>
    <w:p w14:paraId="69B00CBA" w14:textId="761EBCF5"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4" w:history="1">
        <w:r w:rsidR="00AB1C80" w:rsidRPr="00AB1C80">
          <w:rPr>
            <w:rStyle w:val="Hipervnculo"/>
            <w:noProof/>
            <w:sz w:val="22"/>
          </w:rPr>
          <w:t>3.1.1.3</w:t>
        </w:r>
        <w:r w:rsidR="00AB1C80" w:rsidRPr="00AB1C80">
          <w:rPr>
            <w:rFonts w:asciiTheme="minorHAnsi" w:eastAsiaTheme="minorEastAsia" w:hAnsiTheme="minorHAnsi"/>
            <w:noProof/>
            <w:sz w:val="22"/>
            <w:lang w:eastAsia="es-CO"/>
          </w:rPr>
          <w:tab/>
        </w:r>
        <w:r w:rsidR="00AB1C80" w:rsidRPr="00AB1C80">
          <w:rPr>
            <w:rStyle w:val="Hipervnculo"/>
            <w:noProof/>
            <w:sz w:val="22"/>
          </w:rPr>
          <w:t>Marco normativo</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_Toc86332924 \h </w:instrText>
        </w:r>
        <w:r w:rsidR="00AB1C80" w:rsidRPr="00AB1C80">
          <w:rPr>
            <w:noProof/>
            <w:webHidden/>
            <w:sz w:val="22"/>
          </w:rPr>
        </w:r>
        <w:r w:rsidR="00AB1C80" w:rsidRPr="00AB1C80">
          <w:rPr>
            <w:noProof/>
            <w:webHidden/>
            <w:sz w:val="22"/>
          </w:rPr>
          <w:fldChar w:fldCharType="separate"/>
        </w:r>
        <w:r w:rsidR="006A4287">
          <w:rPr>
            <w:noProof/>
            <w:webHidden/>
            <w:sz w:val="22"/>
          </w:rPr>
          <w:t>43</w:t>
        </w:r>
        <w:r w:rsidR="00AB1C80" w:rsidRPr="00AB1C80">
          <w:rPr>
            <w:noProof/>
            <w:webHidden/>
            <w:sz w:val="22"/>
          </w:rPr>
          <w:fldChar w:fldCharType="end"/>
        </w:r>
      </w:hyperlink>
    </w:p>
    <w:p w14:paraId="21E519AF" w14:textId="7F3CE888"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25" w:history="1">
        <w:r w:rsidR="00AB1C80" w:rsidRPr="00AB1C80">
          <w:rPr>
            <w:rStyle w:val="Hipervnculo"/>
            <w:rFonts w:cs="Arial"/>
            <w:noProof/>
          </w:rPr>
          <w:t>3.1.2</w:t>
        </w:r>
        <w:r w:rsidR="00AB1C80" w:rsidRPr="00AB1C80">
          <w:rPr>
            <w:rFonts w:asciiTheme="minorHAnsi" w:eastAsiaTheme="minorEastAsia" w:hAnsiTheme="minorHAnsi"/>
            <w:noProof/>
            <w:lang w:eastAsia="es-CO"/>
          </w:rPr>
          <w:tab/>
        </w:r>
        <w:r w:rsidR="00AB1C80" w:rsidRPr="00AB1C80">
          <w:rPr>
            <w:rStyle w:val="Hipervnculo"/>
            <w:rFonts w:cs="Arial"/>
            <w:noProof/>
          </w:rPr>
          <w:t>Temática internacional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_Toc86332925 \h </w:instrText>
        </w:r>
        <w:r w:rsidR="00AB1C80" w:rsidRPr="00AB1C80">
          <w:rPr>
            <w:noProof/>
            <w:webHidden/>
          </w:rPr>
        </w:r>
        <w:r w:rsidR="00AB1C80" w:rsidRPr="00AB1C80">
          <w:rPr>
            <w:noProof/>
            <w:webHidden/>
          </w:rPr>
          <w:fldChar w:fldCharType="separate"/>
        </w:r>
        <w:r w:rsidR="006A4287">
          <w:rPr>
            <w:noProof/>
            <w:webHidden/>
          </w:rPr>
          <w:t>47</w:t>
        </w:r>
        <w:r w:rsidR="00AB1C80" w:rsidRPr="00AB1C80">
          <w:rPr>
            <w:noProof/>
            <w:webHidden/>
          </w:rPr>
          <w:fldChar w:fldCharType="end"/>
        </w:r>
      </w:hyperlink>
    </w:p>
    <w:p w14:paraId="6D170771" w14:textId="2E176E22"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6" w:history="1">
        <w:r w:rsidR="00AB1C80" w:rsidRPr="00AB1C80">
          <w:rPr>
            <w:rStyle w:val="Hipervnculo"/>
            <w:noProof/>
            <w:sz w:val="22"/>
          </w:rPr>
          <w:t>3.1.2.1</w:t>
        </w:r>
        <w:r w:rsidR="00AB1C80" w:rsidRPr="00AB1C80">
          <w:rPr>
            <w:rFonts w:asciiTheme="minorHAnsi" w:eastAsiaTheme="minorEastAsia" w:hAnsiTheme="minorHAnsi"/>
            <w:noProof/>
            <w:sz w:val="22"/>
            <w:lang w:eastAsia="es-CO"/>
          </w:rPr>
          <w:tab/>
        </w:r>
        <w:r w:rsidR="00AB1C80" w:rsidRPr="00AB1C80">
          <w:rPr>
            <w:rStyle w:val="Hipervnculo"/>
            <w:noProof/>
            <w:sz w:val="22"/>
          </w:rPr>
          <w:t>Documentación recopilada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_Toc86332926 \h </w:instrText>
        </w:r>
        <w:r w:rsidR="00AB1C80" w:rsidRPr="00AB1C80">
          <w:rPr>
            <w:noProof/>
            <w:webHidden/>
            <w:sz w:val="22"/>
          </w:rPr>
        </w:r>
        <w:r w:rsidR="00AB1C80" w:rsidRPr="00AB1C80">
          <w:rPr>
            <w:noProof/>
            <w:webHidden/>
            <w:sz w:val="22"/>
          </w:rPr>
          <w:fldChar w:fldCharType="separate"/>
        </w:r>
        <w:r w:rsidR="006A4287">
          <w:rPr>
            <w:noProof/>
            <w:webHidden/>
            <w:sz w:val="22"/>
          </w:rPr>
          <w:t>47</w:t>
        </w:r>
        <w:r w:rsidR="00AB1C80" w:rsidRPr="00AB1C80">
          <w:rPr>
            <w:noProof/>
            <w:webHidden/>
            <w:sz w:val="22"/>
          </w:rPr>
          <w:fldChar w:fldCharType="end"/>
        </w:r>
      </w:hyperlink>
    </w:p>
    <w:p w14:paraId="27857516" w14:textId="257B44DA"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7" w:history="1">
        <w:r w:rsidR="00AB1C80" w:rsidRPr="00AB1C80">
          <w:rPr>
            <w:rStyle w:val="Hipervnculo"/>
            <w:noProof/>
            <w:sz w:val="22"/>
          </w:rPr>
          <w:t>3.1.2.2</w:t>
        </w:r>
        <w:r w:rsidR="00AB1C80" w:rsidRPr="00AB1C80">
          <w:rPr>
            <w:rFonts w:asciiTheme="minorHAnsi" w:eastAsiaTheme="minorEastAsia" w:hAnsiTheme="minorHAnsi"/>
            <w:noProof/>
            <w:sz w:val="22"/>
            <w:lang w:eastAsia="es-CO"/>
          </w:rPr>
          <w:tab/>
        </w:r>
        <w:r w:rsidR="00AB1C80" w:rsidRPr="00AB1C80">
          <w:rPr>
            <w:rStyle w:val="Hipervnculo"/>
            <w:noProof/>
            <w:sz w:val="22"/>
          </w:rPr>
          <w:t>Análisis de la temática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_Toc86332927 \h </w:instrText>
        </w:r>
        <w:r w:rsidR="00AB1C80" w:rsidRPr="00AB1C80">
          <w:rPr>
            <w:noProof/>
            <w:webHidden/>
            <w:sz w:val="22"/>
          </w:rPr>
        </w:r>
        <w:r w:rsidR="00AB1C80" w:rsidRPr="00AB1C80">
          <w:rPr>
            <w:noProof/>
            <w:webHidden/>
            <w:sz w:val="22"/>
          </w:rPr>
          <w:fldChar w:fldCharType="separate"/>
        </w:r>
        <w:r w:rsidR="006A4287">
          <w:rPr>
            <w:noProof/>
            <w:webHidden/>
            <w:sz w:val="22"/>
          </w:rPr>
          <w:t>64</w:t>
        </w:r>
        <w:r w:rsidR="00AB1C80" w:rsidRPr="00AB1C80">
          <w:rPr>
            <w:noProof/>
            <w:webHidden/>
            <w:sz w:val="22"/>
          </w:rPr>
          <w:fldChar w:fldCharType="end"/>
        </w:r>
      </w:hyperlink>
    </w:p>
    <w:p w14:paraId="45E98A5C" w14:textId="6595435F"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28" w:history="1">
        <w:r w:rsidR="00AB1C80" w:rsidRPr="00AB1C80">
          <w:rPr>
            <w:rStyle w:val="Hipervnculo"/>
            <w:noProof/>
            <w:sz w:val="22"/>
          </w:rPr>
          <w:t>3.1.2.3</w:t>
        </w:r>
        <w:r w:rsidR="00AB1C80" w:rsidRPr="00AB1C80">
          <w:rPr>
            <w:rFonts w:asciiTheme="minorHAnsi" w:eastAsiaTheme="minorEastAsia" w:hAnsiTheme="minorHAnsi"/>
            <w:noProof/>
            <w:sz w:val="22"/>
            <w:lang w:eastAsia="es-CO"/>
          </w:rPr>
          <w:tab/>
        </w:r>
        <w:r w:rsidR="00AB1C80" w:rsidRPr="00AB1C80">
          <w:rPr>
            <w:rStyle w:val="Hipervnculo"/>
            <w:noProof/>
            <w:sz w:val="22"/>
          </w:rPr>
          <w:t>Marco normativo</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_Toc86332928 \h </w:instrText>
        </w:r>
        <w:r w:rsidR="00AB1C80" w:rsidRPr="00AB1C80">
          <w:rPr>
            <w:noProof/>
            <w:webHidden/>
            <w:sz w:val="22"/>
          </w:rPr>
        </w:r>
        <w:r w:rsidR="00AB1C80" w:rsidRPr="00AB1C80">
          <w:rPr>
            <w:noProof/>
            <w:webHidden/>
            <w:sz w:val="22"/>
          </w:rPr>
          <w:fldChar w:fldCharType="separate"/>
        </w:r>
        <w:r w:rsidR="006A4287">
          <w:rPr>
            <w:noProof/>
            <w:webHidden/>
            <w:sz w:val="22"/>
          </w:rPr>
          <w:t>70</w:t>
        </w:r>
        <w:r w:rsidR="00AB1C80" w:rsidRPr="00AB1C80">
          <w:rPr>
            <w:noProof/>
            <w:webHidden/>
            <w:sz w:val="22"/>
          </w:rPr>
          <w:fldChar w:fldCharType="end"/>
        </w:r>
      </w:hyperlink>
    </w:p>
    <w:p w14:paraId="2B6DBC32" w14:textId="6B13DCC5"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29" w:history="1">
        <w:r w:rsidR="00AB1C80" w:rsidRPr="00AB1C80">
          <w:rPr>
            <w:rStyle w:val="Hipervnculo"/>
            <w:rFonts w:cs="Arial"/>
            <w:noProof/>
          </w:rPr>
          <w:t>3.2</w:t>
        </w:r>
        <w:r w:rsidR="00AB1C80" w:rsidRPr="00AB1C80">
          <w:rPr>
            <w:rFonts w:asciiTheme="minorHAnsi" w:eastAsiaTheme="minorEastAsia" w:hAnsiTheme="minorHAnsi"/>
            <w:noProof/>
            <w:lang w:eastAsia="es-CO"/>
          </w:rPr>
          <w:tab/>
        </w:r>
        <w:r w:rsidR="00AB1C80" w:rsidRPr="00AB1C80">
          <w:rPr>
            <w:rStyle w:val="Hipervnculo"/>
            <w:rFonts w:cs="Arial"/>
            <w:noProof/>
          </w:rPr>
          <w:t>Información sobre economía circular</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_Toc86332929 \h </w:instrText>
        </w:r>
        <w:r w:rsidR="00AB1C80" w:rsidRPr="00AB1C80">
          <w:rPr>
            <w:noProof/>
            <w:webHidden/>
          </w:rPr>
        </w:r>
        <w:r w:rsidR="00AB1C80" w:rsidRPr="00AB1C80">
          <w:rPr>
            <w:noProof/>
            <w:webHidden/>
          </w:rPr>
          <w:fldChar w:fldCharType="separate"/>
        </w:r>
        <w:r w:rsidR="006A4287">
          <w:rPr>
            <w:noProof/>
            <w:webHidden/>
          </w:rPr>
          <w:t>74</w:t>
        </w:r>
        <w:r w:rsidR="00AB1C80" w:rsidRPr="00AB1C80">
          <w:rPr>
            <w:noProof/>
            <w:webHidden/>
          </w:rPr>
          <w:fldChar w:fldCharType="end"/>
        </w:r>
      </w:hyperlink>
    </w:p>
    <w:p w14:paraId="2BD99CA9" w14:textId="5CEA696C"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30" w:history="1">
        <w:r w:rsidR="00AB1C80" w:rsidRPr="00AB1C80">
          <w:rPr>
            <w:rStyle w:val="Hipervnculo"/>
            <w:rFonts w:cs="Arial"/>
            <w:noProof/>
          </w:rPr>
          <w:t>3.2.1</w:t>
        </w:r>
        <w:r w:rsidR="00AB1C80" w:rsidRPr="00AB1C80">
          <w:rPr>
            <w:rFonts w:asciiTheme="minorHAnsi" w:eastAsiaTheme="minorEastAsia" w:hAnsiTheme="minorHAnsi"/>
            <w:noProof/>
            <w:lang w:eastAsia="es-CO"/>
          </w:rPr>
          <w:tab/>
        </w:r>
        <w:r w:rsidR="00AB1C80" w:rsidRPr="00AB1C80">
          <w:rPr>
            <w:rStyle w:val="Hipervnculo"/>
            <w:rFonts w:cs="Arial"/>
            <w:noProof/>
          </w:rPr>
          <w:t>Temática nacional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_Toc86332930 \h </w:instrText>
        </w:r>
        <w:r w:rsidR="00AB1C80" w:rsidRPr="00AB1C80">
          <w:rPr>
            <w:noProof/>
            <w:webHidden/>
          </w:rPr>
        </w:r>
        <w:r w:rsidR="00AB1C80" w:rsidRPr="00AB1C80">
          <w:rPr>
            <w:noProof/>
            <w:webHidden/>
          </w:rPr>
          <w:fldChar w:fldCharType="separate"/>
        </w:r>
        <w:r w:rsidR="006A4287">
          <w:rPr>
            <w:noProof/>
            <w:webHidden/>
          </w:rPr>
          <w:t>75</w:t>
        </w:r>
        <w:r w:rsidR="00AB1C80" w:rsidRPr="00AB1C80">
          <w:rPr>
            <w:noProof/>
            <w:webHidden/>
          </w:rPr>
          <w:fldChar w:fldCharType="end"/>
        </w:r>
      </w:hyperlink>
    </w:p>
    <w:p w14:paraId="565BD8B5" w14:textId="07D5CB47"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31" w:history="1">
        <w:r w:rsidR="00AB1C80" w:rsidRPr="00AB1C80">
          <w:rPr>
            <w:rStyle w:val="Hipervnculo"/>
            <w:noProof/>
            <w:sz w:val="22"/>
          </w:rPr>
          <w:t>3.2.1.1</w:t>
        </w:r>
        <w:r w:rsidR="00AB1C80" w:rsidRPr="00AB1C80">
          <w:rPr>
            <w:rFonts w:asciiTheme="minorHAnsi" w:eastAsiaTheme="minorEastAsia" w:hAnsiTheme="minorHAnsi"/>
            <w:noProof/>
            <w:sz w:val="22"/>
            <w:lang w:eastAsia="es-CO"/>
          </w:rPr>
          <w:tab/>
        </w:r>
        <w:r w:rsidR="00AB1C80" w:rsidRPr="00AB1C80">
          <w:rPr>
            <w:rStyle w:val="Hipervnculo"/>
            <w:noProof/>
            <w:sz w:val="22"/>
          </w:rPr>
          <w:t>Documentación recopilada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_Toc86332931 \h </w:instrText>
        </w:r>
        <w:r w:rsidR="00AB1C80" w:rsidRPr="00AB1C80">
          <w:rPr>
            <w:noProof/>
            <w:webHidden/>
            <w:sz w:val="22"/>
          </w:rPr>
        </w:r>
        <w:r w:rsidR="00AB1C80" w:rsidRPr="00AB1C80">
          <w:rPr>
            <w:noProof/>
            <w:webHidden/>
            <w:sz w:val="22"/>
          </w:rPr>
          <w:fldChar w:fldCharType="separate"/>
        </w:r>
        <w:r w:rsidR="006A4287">
          <w:rPr>
            <w:noProof/>
            <w:webHidden/>
            <w:sz w:val="22"/>
          </w:rPr>
          <w:t>75</w:t>
        </w:r>
        <w:r w:rsidR="00AB1C80" w:rsidRPr="00AB1C80">
          <w:rPr>
            <w:noProof/>
            <w:webHidden/>
            <w:sz w:val="22"/>
          </w:rPr>
          <w:fldChar w:fldCharType="end"/>
        </w:r>
      </w:hyperlink>
    </w:p>
    <w:p w14:paraId="1C958560" w14:textId="44A4D96E"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32" w:history="1">
        <w:r w:rsidR="00AB1C80" w:rsidRPr="00AB1C80">
          <w:rPr>
            <w:rStyle w:val="Hipervnculo"/>
            <w:noProof/>
            <w:sz w:val="22"/>
          </w:rPr>
          <w:t>3.2.1.2</w:t>
        </w:r>
        <w:r w:rsidR="00AB1C80" w:rsidRPr="00AB1C80">
          <w:rPr>
            <w:rFonts w:asciiTheme="minorHAnsi" w:eastAsiaTheme="minorEastAsia" w:hAnsiTheme="minorHAnsi"/>
            <w:noProof/>
            <w:sz w:val="22"/>
            <w:lang w:eastAsia="es-CO"/>
          </w:rPr>
          <w:tab/>
        </w:r>
        <w:r w:rsidR="00AB1C80" w:rsidRPr="00AB1C80">
          <w:rPr>
            <w:rStyle w:val="Hipervnculo"/>
            <w:noProof/>
            <w:sz w:val="22"/>
          </w:rPr>
          <w:t>Análisis de la temática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_Toc86332932 \h </w:instrText>
        </w:r>
        <w:r w:rsidR="00AB1C80" w:rsidRPr="00AB1C80">
          <w:rPr>
            <w:noProof/>
            <w:webHidden/>
            <w:sz w:val="22"/>
          </w:rPr>
        </w:r>
        <w:r w:rsidR="00AB1C80" w:rsidRPr="00AB1C80">
          <w:rPr>
            <w:noProof/>
            <w:webHidden/>
            <w:sz w:val="22"/>
          </w:rPr>
          <w:fldChar w:fldCharType="separate"/>
        </w:r>
        <w:r w:rsidR="006A4287">
          <w:rPr>
            <w:noProof/>
            <w:webHidden/>
            <w:sz w:val="22"/>
          </w:rPr>
          <w:t>84</w:t>
        </w:r>
        <w:r w:rsidR="00AB1C80" w:rsidRPr="00AB1C80">
          <w:rPr>
            <w:noProof/>
            <w:webHidden/>
            <w:sz w:val="22"/>
          </w:rPr>
          <w:fldChar w:fldCharType="end"/>
        </w:r>
      </w:hyperlink>
    </w:p>
    <w:p w14:paraId="2F2A83C0" w14:textId="587CF8AA"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33" w:history="1">
        <w:r w:rsidR="00AB1C80" w:rsidRPr="00AB1C80">
          <w:rPr>
            <w:rStyle w:val="Hipervnculo"/>
            <w:noProof/>
            <w:sz w:val="22"/>
          </w:rPr>
          <w:t>3.2.1.3</w:t>
        </w:r>
        <w:r w:rsidR="00AB1C80" w:rsidRPr="00AB1C80">
          <w:rPr>
            <w:rFonts w:asciiTheme="minorHAnsi" w:eastAsiaTheme="minorEastAsia" w:hAnsiTheme="minorHAnsi"/>
            <w:noProof/>
            <w:sz w:val="22"/>
            <w:lang w:eastAsia="es-CO"/>
          </w:rPr>
          <w:tab/>
        </w:r>
        <w:r w:rsidR="00AB1C80" w:rsidRPr="00AB1C80">
          <w:rPr>
            <w:rStyle w:val="Hipervnculo"/>
            <w:noProof/>
            <w:sz w:val="22"/>
          </w:rPr>
          <w:t>Marco normativo</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_Toc86332933 \h </w:instrText>
        </w:r>
        <w:r w:rsidR="00AB1C80" w:rsidRPr="00AB1C80">
          <w:rPr>
            <w:noProof/>
            <w:webHidden/>
            <w:sz w:val="22"/>
          </w:rPr>
        </w:r>
        <w:r w:rsidR="00AB1C80" w:rsidRPr="00AB1C80">
          <w:rPr>
            <w:noProof/>
            <w:webHidden/>
            <w:sz w:val="22"/>
          </w:rPr>
          <w:fldChar w:fldCharType="separate"/>
        </w:r>
        <w:r w:rsidR="006A4287">
          <w:rPr>
            <w:noProof/>
            <w:webHidden/>
            <w:sz w:val="22"/>
          </w:rPr>
          <w:t>99</w:t>
        </w:r>
        <w:r w:rsidR="00AB1C80" w:rsidRPr="00AB1C80">
          <w:rPr>
            <w:noProof/>
            <w:webHidden/>
            <w:sz w:val="22"/>
          </w:rPr>
          <w:fldChar w:fldCharType="end"/>
        </w:r>
      </w:hyperlink>
    </w:p>
    <w:p w14:paraId="0D0D285B" w14:textId="4DDD6B86" w:rsidR="00AB1C80" w:rsidRPr="00AB1C80" w:rsidRDefault="00563C81">
      <w:pPr>
        <w:pStyle w:val="TDC3"/>
        <w:tabs>
          <w:tab w:val="left" w:pos="1320"/>
          <w:tab w:val="right" w:leader="dot" w:pos="8828"/>
        </w:tabs>
        <w:rPr>
          <w:rFonts w:asciiTheme="minorHAnsi" w:eastAsiaTheme="minorEastAsia" w:hAnsiTheme="minorHAnsi"/>
          <w:noProof/>
          <w:lang w:eastAsia="es-CO"/>
        </w:rPr>
      </w:pPr>
      <w:hyperlink w:anchor="_Toc86332934" w:history="1">
        <w:r w:rsidR="00AB1C80" w:rsidRPr="00AB1C80">
          <w:rPr>
            <w:rStyle w:val="Hipervnculo"/>
            <w:rFonts w:cs="Arial"/>
            <w:noProof/>
          </w:rPr>
          <w:t>3.2.2</w:t>
        </w:r>
        <w:r w:rsidR="00AB1C80" w:rsidRPr="00AB1C80">
          <w:rPr>
            <w:rFonts w:asciiTheme="minorHAnsi" w:eastAsiaTheme="minorEastAsia" w:hAnsiTheme="minorHAnsi"/>
            <w:noProof/>
            <w:lang w:eastAsia="es-CO"/>
          </w:rPr>
          <w:tab/>
        </w:r>
        <w:r w:rsidR="00AB1C80" w:rsidRPr="00AB1C80">
          <w:rPr>
            <w:rStyle w:val="Hipervnculo"/>
            <w:rFonts w:cs="Arial"/>
            <w:noProof/>
          </w:rPr>
          <w:t>Temática internacional</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_Toc86332934 \h </w:instrText>
        </w:r>
        <w:r w:rsidR="00AB1C80" w:rsidRPr="00AB1C80">
          <w:rPr>
            <w:noProof/>
            <w:webHidden/>
          </w:rPr>
        </w:r>
        <w:r w:rsidR="00AB1C80" w:rsidRPr="00AB1C80">
          <w:rPr>
            <w:noProof/>
            <w:webHidden/>
          </w:rPr>
          <w:fldChar w:fldCharType="separate"/>
        </w:r>
        <w:r w:rsidR="006A4287">
          <w:rPr>
            <w:noProof/>
            <w:webHidden/>
          </w:rPr>
          <w:t>106</w:t>
        </w:r>
        <w:r w:rsidR="00AB1C80" w:rsidRPr="00AB1C80">
          <w:rPr>
            <w:noProof/>
            <w:webHidden/>
          </w:rPr>
          <w:fldChar w:fldCharType="end"/>
        </w:r>
      </w:hyperlink>
    </w:p>
    <w:p w14:paraId="4CD1E919" w14:textId="646C329B"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35" w:history="1">
        <w:r w:rsidR="00AB1C80" w:rsidRPr="00AB1C80">
          <w:rPr>
            <w:rStyle w:val="Hipervnculo"/>
            <w:noProof/>
            <w:sz w:val="22"/>
          </w:rPr>
          <w:t>3.2.2.1</w:t>
        </w:r>
        <w:r w:rsidR="00AB1C80" w:rsidRPr="00AB1C80">
          <w:rPr>
            <w:rFonts w:asciiTheme="minorHAnsi" w:eastAsiaTheme="minorEastAsia" w:hAnsiTheme="minorHAnsi"/>
            <w:noProof/>
            <w:sz w:val="22"/>
            <w:lang w:eastAsia="es-CO"/>
          </w:rPr>
          <w:tab/>
        </w:r>
        <w:r w:rsidR="00AB1C80" w:rsidRPr="00AB1C80">
          <w:rPr>
            <w:rStyle w:val="Hipervnculo"/>
            <w:noProof/>
            <w:sz w:val="22"/>
          </w:rPr>
          <w:t>Documentación recopilada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_Toc86332935 \h </w:instrText>
        </w:r>
        <w:r w:rsidR="00AB1C80" w:rsidRPr="00AB1C80">
          <w:rPr>
            <w:noProof/>
            <w:webHidden/>
            <w:sz w:val="22"/>
          </w:rPr>
        </w:r>
        <w:r w:rsidR="00AB1C80" w:rsidRPr="00AB1C80">
          <w:rPr>
            <w:noProof/>
            <w:webHidden/>
            <w:sz w:val="22"/>
          </w:rPr>
          <w:fldChar w:fldCharType="separate"/>
        </w:r>
        <w:r w:rsidR="006A4287">
          <w:rPr>
            <w:noProof/>
            <w:webHidden/>
            <w:sz w:val="22"/>
          </w:rPr>
          <w:t>106</w:t>
        </w:r>
        <w:r w:rsidR="00AB1C80" w:rsidRPr="00AB1C80">
          <w:rPr>
            <w:noProof/>
            <w:webHidden/>
            <w:sz w:val="22"/>
          </w:rPr>
          <w:fldChar w:fldCharType="end"/>
        </w:r>
      </w:hyperlink>
    </w:p>
    <w:p w14:paraId="2BE84D35" w14:textId="0E0B4E3C"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36" w:history="1">
        <w:r w:rsidR="00AB1C80" w:rsidRPr="00AB1C80">
          <w:rPr>
            <w:rStyle w:val="Hipervnculo"/>
            <w:noProof/>
            <w:sz w:val="22"/>
          </w:rPr>
          <w:t>3.2.2.2</w:t>
        </w:r>
        <w:r w:rsidR="00AB1C80" w:rsidRPr="00AB1C80">
          <w:rPr>
            <w:rFonts w:asciiTheme="minorHAnsi" w:eastAsiaTheme="minorEastAsia" w:hAnsiTheme="minorHAnsi"/>
            <w:noProof/>
            <w:sz w:val="22"/>
            <w:lang w:eastAsia="es-CO"/>
          </w:rPr>
          <w:tab/>
        </w:r>
        <w:r w:rsidR="00AB1C80" w:rsidRPr="00AB1C80">
          <w:rPr>
            <w:rStyle w:val="Hipervnculo"/>
            <w:noProof/>
            <w:sz w:val="22"/>
          </w:rPr>
          <w:t>Análisis de la temática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_Toc86332936 \h </w:instrText>
        </w:r>
        <w:r w:rsidR="00AB1C80" w:rsidRPr="00AB1C80">
          <w:rPr>
            <w:noProof/>
            <w:webHidden/>
            <w:sz w:val="22"/>
          </w:rPr>
        </w:r>
        <w:r w:rsidR="00AB1C80" w:rsidRPr="00AB1C80">
          <w:rPr>
            <w:noProof/>
            <w:webHidden/>
            <w:sz w:val="22"/>
          </w:rPr>
          <w:fldChar w:fldCharType="separate"/>
        </w:r>
        <w:r w:rsidR="006A4287">
          <w:rPr>
            <w:noProof/>
            <w:webHidden/>
            <w:sz w:val="22"/>
          </w:rPr>
          <w:t>125</w:t>
        </w:r>
        <w:r w:rsidR="00AB1C80" w:rsidRPr="00AB1C80">
          <w:rPr>
            <w:noProof/>
            <w:webHidden/>
            <w:sz w:val="22"/>
          </w:rPr>
          <w:fldChar w:fldCharType="end"/>
        </w:r>
      </w:hyperlink>
    </w:p>
    <w:p w14:paraId="09E6BE07" w14:textId="5115915F" w:rsidR="00AB1C80" w:rsidRPr="00AB1C80" w:rsidRDefault="00563C81">
      <w:pPr>
        <w:pStyle w:val="TDC5"/>
        <w:tabs>
          <w:tab w:val="left" w:pos="1540"/>
          <w:tab w:val="right" w:leader="dot" w:pos="8828"/>
        </w:tabs>
        <w:rPr>
          <w:rFonts w:asciiTheme="minorHAnsi" w:eastAsiaTheme="minorEastAsia" w:hAnsiTheme="minorHAnsi"/>
          <w:noProof/>
          <w:sz w:val="22"/>
          <w:lang w:eastAsia="es-CO"/>
        </w:rPr>
      </w:pPr>
      <w:hyperlink w:anchor="_Toc86332937" w:history="1">
        <w:r w:rsidR="00AB1C80" w:rsidRPr="00AB1C80">
          <w:rPr>
            <w:rStyle w:val="Hipervnculo"/>
            <w:rFonts w:ascii="Wingdings" w:hAnsi="Wingdings" w:cs="Arial"/>
            <w:noProof/>
            <w:sz w:val="22"/>
          </w:rPr>
          <w:t></w:t>
        </w:r>
        <w:r w:rsidR="00AB1C80" w:rsidRPr="00AB1C80">
          <w:rPr>
            <w:rFonts w:asciiTheme="minorHAnsi" w:eastAsiaTheme="minorEastAsia" w:hAnsiTheme="minorHAnsi"/>
            <w:noProof/>
            <w:sz w:val="22"/>
            <w:lang w:eastAsia="es-CO"/>
          </w:rPr>
          <w:tab/>
        </w:r>
        <w:r w:rsidR="00AB1C80" w:rsidRPr="00AB1C80">
          <w:rPr>
            <w:rStyle w:val="Hipervnculo"/>
            <w:rFonts w:cs="Arial"/>
            <w:noProof/>
            <w:sz w:val="22"/>
          </w:rPr>
          <w:t>La economía circular en la actividad minera</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_Toc86332937 \h </w:instrText>
        </w:r>
        <w:r w:rsidR="00AB1C80" w:rsidRPr="00AB1C80">
          <w:rPr>
            <w:noProof/>
            <w:webHidden/>
            <w:sz w:val="22"/>
          </w:rPr>
        </w:r>
        <w:r w:rsidR="00AB1C80" w:rsidRPr="00AB1C80">
          <w:rPr>
            <w:noProof/>
            <w:webHidden/>
            <w:sz w:val="22"/>
          </w:rPr>
          <w:fldChar w:fldCharType="separate"/>
        </w:r>
        <w:r w:rsidR="006A4287">
          <w:rPr>
            <w:noProof/>
            <w:webHidden/>
            <w:sz w:val="22"/>
          </w:rPr>
          <w:t>135</w:t>
        </w:r>
        <w:r w:rsidR="00AB1C80" w:rsidRPr="00AB1C80">
          <w:rPr>
            <w:noProof/>
            <w:webHidden/>
            <w:sz w:val="22"/>
          </w:rPr>
          <w:fldChar w:fldCharType="end"/>
        </w:r>
      </w:hyperlink>
    </w:p>
    <w:p w14:paraId="7414C8DD" w14:textId="0DC99E29" w:rsidR="00AB1C80" w:rsidRPr="00AB1C80" w:rsidRDefault="00563C81">
      <w:pPr>
        <w:pStyle w:val="TDC5"/>
        <w:tabs>
          <w:tab w:val="left" w:pos="1540"/>
          <w:tab w:val="right" w:leader="dot" w:pos="8828"/>
        </w:tabs>
        <w:rPr>
          <w:rFonts w:asciiTheme="minorHAnsi" w:eastAsiaTheme="minorEastAsia" w:hAnsiTheme="minorHAnsi"/>
          <w:noProof/>
          <w:sz w:val="22"/>
          <w:lang w:eastAsia="es-CO"/>
        </w:rPr>
      </w:pPr>
      <w:hyperlink w:anchor="_Toc86332938" w:history="1">
        <w:r w:rsidR="00AB1C80" w:rsidRPr="00AB1C80">
          <w:rPr>
            <w:rStyle w:val="Hipervnculo"/>
            <w:rFonts w:ascii="Wingdings" w:hAnsi="Wingdings" w:cs="Arial"/>
            <w:noProof/>
            <w:sz w:val="22"/>
          </w:rPr>
          <w:t></w:t>
        </w:r>
        <w:r w:rsidR="00AB1C80" w:rsidRPr="00AB1C80">
          <w:rPr>
            <w:rFonts w:asciiTheme="minorHAnsi" w:eastAsiaTheme="minorEastAsia" w:hAnsiTheme="minorHAnsi"/>
            <w:noProof/>
            <w:sz w:val="22"/>
            <w:lang w:eastAsia="es-CO"/>
          </w:rPr>
          <w:tab/>
        </w:r>
        <w:r w:rsidR="00AB1C80" w:rsidRPr="00AB1C80">
          <w:rPr>
            <w:rStyle w:val="Hipervnculo"/>
            <w:rFonts w:cs="Arial"/>
            <w:noProof/>
            <w:sz w:val="22"/>
          </w:rPr>
          <w:t>Sobre modelos de negocio de economía circular</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_Toc86332938 \h </w:instrText>
        </w:r>
        <w:r w:rsidR="00AB1C80" w:rsidRPr="00AB1C80">
          <w:rPr>
            <w:noProof/>
            <w:webHidden/>
            <w:sz w:val="22"/>
          </w:rPr>
        </w:r>
        <w:r w:rsidR="00AB1C80" w:rsidRPr="00AB1C80">
          <w:rPr>
            <w:noProof/>
            <w:webHidden/>
            <w:sz w:val="22"/>
          </w:rPr>
          <w:fldChar w:fldCharType="separate"/>
        </w:r>
        <w:r w:rsidR="006A4287">
          <w:rPr>
            <w:noProof/>
            <w:webHidden/>
            <w:sz w:val="22"/>
          </w:rPr>
          <w:t>129</w:t>
        </w:r>
        <w:r w:rsidR="00AB1C80" w:rsidRPr="00AB1C80">
          <w:rPr>
            <w:noProof/>
            <w:webHidden/>
            <w:sz w:val="22"/>
          </w:rPr>
          <w:fldChar w:fldCharType="end"/>
        </w:r>
      </w:hyperlink>
    </w:p>
    <w:p w14:paraId="5C6ABA93" w14:textId="3C052F76" w:rsidR="00AB1C80" w:rsidRPr="00AB1C80" w:rsidRDefault="00563C81">
      <w:pPr>
        <w:pStyle w:val="TDC5"/>
        <w:tabs>
          <w:tab w:val="left" w:pos="1540"/>
          <w:tab w:val="right" w:leader="dot" w:pos="8828"/>
        </w:tabs>
        <w:rPr>
          <w:rFonts w:asciiTheme="minorHAnsi" w:eastAsiaTheme="minorEastAsia" w:hAnsiTheme="minorHAnsi"/>
          <w:noProof/>
          <w:sz w:val="22"/>
          <w:lang w:eastAsia="es-CO"/>
        </w:rPr>
      </w:pPr>
      <w:hyperlink w:anchor="_Toc86332939" w:history="1">
        <w:r w:rsidR="00AB1C80" w:rsidRPr="00AB1C80">
          <w:rPr>
            <w:rStyle w:val="Hipervnculo"/>
            <w:rFonts w:ascii="Wingdings" w:hAnsi="Wingdings" w:cs="Arial"/>
            <w:noProof/>
            <w:sz w:val="22"/>
          </w:rPr>
          <w:t></w:t>
        </w:r>
        <w:r w:rsidR="00AB1C80" w:rsidRPr="00AB1C80">
          <w:rPr>
            <w:rFonts w:asciiTheme="minorHAnsi" w:eastAsiaTheme="minorEastAsia" w:hAnsiTheme="minorHAnsi"/>
            <w:noProof/>
            <w:sz w:val="22"/>
            <w:lang w:eastAsia="es-CO"/>
          </w:rPr>
          <w:tab/>
        </w:r>
        <w:r w:rsidR="00AB1C80" w:rsidRPr="00AB1C80">
          <w:rPr>
            <w:rStyle w:val="Hipervnculo"/>
            <w:rFonts w:cs="Arial"/>
            <w:noProof/>
            <w:sz w:val="22"/>
          </w:rPr>
          <w:t>Sobre el financiamiento de la economía circular</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_Toc86332939 \h </w:instrText>
        </w:r>
        <w:r w:rsidR="00AB1C80" w:rsidRPr="00AB1C80">
          <w:rPr>
            <w:noProof/>
            <w:webHidden/>
            <w:sz w:val="22"/>
          </w:rPr>
        </w:r>
        <w:r w:rsidR="00AB1C80" w:rsidRPr="00AB1C80">
          <w:rPr>
            <w:noProof/>
            <w:webHidden/>
            <w:sz w:val="22"/>
          </w:rPr>
          <w:fldChar w:fldCharType="separate"/>
        </w:r>
        <w:r w:rsidR="006A4287">
          <w:rPr>
            <w:noProof/>
            <w:webHidden/>
            <w:sz w:val="22"/>
          </w:rPr>
          <w:t>131</w:t>
        </w:r>
        <w:r w:rsidR="00AB1C80" w:rsidRPr="00AB1C80">
          <w:rPr>
            <w:noProof/>
            <w:webHidden/>
            <w:sz w:val="22"/>
          </w:rPr>
          <w:fldChar w:fldCharType="end"/>
        </w:r>
      </w:hyperlink>
    </w:p>
    <w:p w14:paraId="05846FA6" w14:textId="19C5BCF2" w:rsidR="00AB1C80" w:rsidRPr="00AB1C80" w:rsidRDefault="00563C81">
      <w:pPr>
        <w:pStyle w:val="TDC5"/>
        <w:tabs>
          <w:tab w:val="left" w:pos="1540"/>
          <w:tab w:val="right" w:leader="dot" w:pos="8828"/>
        </w:tabs>
        <w:rPr>
          <w:rFonts w:asciiTheme="minorHAnsi" w:eastAsiaTheme="minorEastAsia" w:hAnsiTheme="minorHAnsi"/>
          <w:noProof/>
          <w:sz w:val="22"/>
          <w:lang w:eastAsia="es-CO"/>
        </w:rPr>
      </w:pPr>
      <w:hyperlink w:anchor="_Toc86332940" w:history="1">
        <w:r w:rsidR="00AB1C80" w:rsidRPr="00AB1C80">
          <w:rPr>
            <w:rStyle w:val="Hipervnculo"/>
            <w:rFonts w:ascii="Wingdings" w:hAnsi="Wingdings" w:cs="Arial"/>
            <w:noProof/>
            <w:sz w:val="22"/>
          </w:rPr>
          <w:t></w:t>
        </w:r>
        <w:r w:rsidR="00AB1C80" w:rsidRPr="00AB1C80">
          <w:rPr>
            <w:rFonts w:asciiTheme="minorHAnsi" w:eastAsiaTheme="minorEastAsia" w:hAnsiTheme="minorHAnsi"/>
            <w:noProof/>
            <w:sz w:val="22"/>
            <w:lang w:eastAsia="es-CO"/>
          </w:rPr>
          <w:tab/>
        </w:r>
        <w:r w:rsidR="00AB1C80" w:rsidRPr="00AB1C80">
          <w:rPr>
            <w:rStyle w:val="Hipervnculo"/>
            <w:rFonts w:cs="Arial"/>
            <w:noProof/>
            <w:sz w:val="22"/>
          </w:rPr>
          <w:t>Sobre la cultura de la economía circular</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_Toc86332940 \h </w:instrText>
        </w:r>
        <w:r w:rsidR="00AB1C80" w:rsidRPr="00AB1C80">
          <w:rPr>
            <w:noProof/>
            <w:webHidden/>
            <w:sz w:val="22"/>
          </w:rPr>
        </w:r>
        <w:r w:rsidR="00AB1C80" w:rsidRPr="00AB1C80">
          <w:rPr>
            <w:noProof/>
            <w:webHidden/>
            <w:sz w:val="22"/>
          </w:rPr>
          <w:fldChar w:fldCharType="separate"/>
        </w:r>
        <w:r w:rsidR="006A4287">
          <w:rPr>
            <w:noProof/>
            <w:webHidden/>
            <w:sz w:val="22"/>
          </w:rPr>
          <w:t>133</w:t>
        </w:r>
        <w:r w:rsidR="00AB1C80" w:rsidRPr="00AB1C80">
          <w:rPr>
            <w:noProof/>
            <w:webHidden/>
            <w:sz w:val="22"/>
          </w:rPr>
          <w:fldChar w:fldCharType="end"/>
        </w:r>
      </w:hyperlink>
    </w:p>
    <w:p w14:paraId="44BBE967" w14:textId="3CF72B68" w:rsidR="00AB1C80" w:rsidRPr="00AB1C80" w:rsidRDefault="00563C81">
      <w:pPr>
        <w:pStyle w:val="TDC5"/>
        <w:tabs>
          <w:tab w:val="left" w:pos="1540"/>
          <w:tab w:val="right" w:leader="dot" w:pos="8828"/>
        </w:tabs>
        <w:rPr>
          <w:rFonts w:asciiTheme="minorHAnsi" w:eastAsiaTheme="minorEastAsia" w:hAnsiTheme="minorHAnsi"/>
          <w:noProof/>
          <w:sz w:val="22"/>
          <w:lang w:eastAsia="es-CO"/>
        </w:rPr>
      </w:pPr>
      <w:hyperlink w:anchor="_Toc86332941" w:history="1">
        <w:r w:rsidR="00AB1C80" w:rsidRPr="00AB1C80">
          <w:rPr>
            <w:rStyle w:val="Hipervnculo"/>
            <w:rFonts w:ascii="Wingdings" w:eastAsia="Calibri" w:hAnsi="Wingdings" w:cs="Arial"/>
            <w:noProof/>
            <w:sz w:val="22"/>
          </w:rPr>
          <w:t></w:t>
        </w:r>
        <w:r w:rsidR="00AB1C80" w:rsidRPr="00AB1C80">
          <w:rPr>
            <w:rFonts w:asciiTheme="minorHAnsi" w:eastAsiaTheme="minorEastAsia" w:hAnsiTheme="minorHAnsi"/>
            <w:noProof/>
            <w:sz w:val="22"/>
            <w:lang w:eastAsia="es-CO"/>
          </w:rPr>
          <w:tab/>
        </w:r>
        <w:r w:rsidR="00AB1C80" w:rsidRPr="00AB1C80">
          <w:rPr>
            <w:rStyle w:val="Hipervnculo"/>
            <w:rFonts w:cs="Arial"/>
            <w:noProof/>
            <w:sz w:val="22"/>
          </w:rPr>
          <w:t>Sobre mejores prácticas de gestión de estériles relacionadas con la economía circular</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_Toc86332941 \h </w:instrText>
        </w:r>
        <w:r w:rsidR="00AB1C80" w:rsidRPr="00AB1C80">
          <w:rPr>
            <w:noProof/>
            <w:webHidden/>
            <w:sz w:val="22"/>
          </w:rPr>
        </w:r>
        <w:r w:rsidR="00AB1C80" w:rsidRPr="00AB1C80">
          <w:rPr>
            <w:noProof/>
            <w:webHidden/>
            <w:sz w:val="22"/>
          </w:rPr>
          <w:fldChar w:fldCharType="separate"/>
        </w:r>
        <w:r w:rsidR="006A4287">
          <w:rPr>
            <w:noProof/>
            <w:webHidden/>
            <w:sz w:val="22"/>
          </w:rPr>
          <w:t>135</w:t>
        </w:r>
        <w:r w:rsidR="00AB1C80" w:rsidRPr="00AB1C80">
          <w:rPr>
            <w:noProof/>
            <w:webHidden/>
            <w:sz w:val="22"/>
          </w:rPr>
          <w:fldChar w:fldCharType="end"/>
        </w:r>
      </w:hyperlink>
    </w:p>
    <w:p w14:paraId="77F5F3CC" w14:textId="5143E60F" w:rsidR="00AB1C80" w:rsidRPr="00AB1C80" w:rsidRDefault="00563C81">
      <w:pPr>
        <w:pStyle w:val="TDC4"/>
        <w:tabs>
          <w:tab w:val="left" w:pos="1760"/>
          <w:tab w:val="right" w:leader="dot" w:pos="8828"/>
        </w:tabs>
        <w:rPr>
          <w:rFonts w:asciiTheme="minorHAnsi" w:eastAsiaTheme="minorEastAsia" w:hAnsiTheme="minorHAnsi"/>
          <w:noProof/>
          <w:sz w:val="22"/>
          <w:lang w:eastAsia="es-CO"/>
        </w:rPr>
      </w:pPr>
      <w:hyperlink w:anchor="_Toc86332942" w:history="1">
        <w:r w:rsidR="00AB1C80" w:rsidRPr="00AB1C80">
          <w:rPr>
            <w:rStyle w:val="Hipervnculo"/>
            <w:noProof/>
            <w:sz w:val="22"/>
          </w:rPr>
          <w:t>3.2.2.3</w:t>
        </w:r>
        <w:r w:rsidR="00AB1C80" w:rsidRPr="00AB1C80">
          <w:rPr>
            <w:rFonts w:asciiTheme="minorHAnsi" w:eastAsiaTheme="minorEastAsia" w:hAnsiTheme="minorHAnsi"/>
            <w:noProof/>
            <w:sz w:val="22"/>
            <w:lang w:eastAsia="es-CO"/>
          </w:rPr>
          <w:tab/>
        </w:r>
        <w:r w:rsidR="00AB1C80" w:rsidRPr="00AB1C80">
          <w:rPr>
            <w:rStyle w:val="Hipervnculo"/>
            <w:noProof/>
            <w:sz w:val="22"/>
          </w:rPr>
          <w:t>Marco normativo</w:t>
        </w:r>
        <w:r w:rsidR="00AB1C80" w:rsidRPr="00AB1C80">
          <w:rPr>
            <w:noProof/>
            <w:webHidden/>
            <w:sz w:val="22"/>
          </w:rPr>
          <w:tab/>
        </w:r>
        <w:r w:rsidR="00AB1C80" w:rsidRPr="00AB1C80">
          <w:rPr>
            <w:noProof/>
            <w:webHidden/>
            <w:sz w:val="22"/>
          </w:rPr>
          <w:fldChar w:fldCharType="begin"/>
        </w:r>
        <w:r w:rsidR="00AB1C80" w:rsidRPr="00AB1C80">
          <w:rPr>
            <w:noProof/>
            <w:webHidden/>
            <w:sz w:val="22"/>
          </w:rPr>
          <w:instrText xml:space="preserve"> PAGEREF _Toc86332942 \h </w:instrText>
        </w:r>
        <w:r w:rsidR="00AB1C80" w:rsidRPr="00AB1C80">
          <w:rPr>
            <w:noProof/>
            <w:webHidden/>
            <w:sz w:val="22"/>
          </w:rPr>
        </w:r>
        <w:r w:rsidR="00AB1C80" w:rsidRPr="00AB1C80">
          <w:rPr>
            <w:noProof/>
            <w:webHidden/>
            <w:sz w:val="22"/>
          </w:rPr>
          <w:fldChar w:fldCharType="separate"/>
        </w:r>
        <w:r w:rsidR="006A4287">
          <w:rPr>
            <w:noProof/>
            <w:webHidden/>
            <w:sz w:val="22"/>
          </w:rPr>
          <w:t>150</w:t>
        </w:r>
        <w:r w:rsidR="00AB1C80" w:rsidRPr="00AB1C80">
          <w:rPr>
            <w:noProof/>
            <w:webHidden/>
            <w:sz w:val="22"/>
          </w:rPr>
          <w:fldChar w:fldCharType="end"/>
        </w:r>
      </w:hyperlink>
    </w:p>
    <w:p w14:paraId="3196E214" w14:textId="6632D3A4"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43" w:history="1">
        <w:r w:rsidR="00AB1C80" w:rsidRPr="00AB1C80">
          <w:rPr>
            <w:rStyle w:val="Hipervnculo"/>
            <w:rFonts w:cs="Arial"/>
            <w:bCs/>
            <w:noProof/>
          </w:rPr>
          <w:t>4</w:t>
        </w:r>
        <w:r w:rsidR="00AB1C80" w:rsidRPr="00AB1C80">
          <w:rPr>
            <w:rFonts w:asciiTheme="minorHAnsi" w:eastAsiaTheme="minorEastAsia" w:hAnsiTheme="minorHAnsi"/>
            <w:b w:val="0"/>
            <w:noProof/>
            <w:lang w:eastAsia="es-CO"/>
          </w:rPr>
          <w:tab/>
        </w:r>
        <w:r w:rsidR="00AB1C80" w:rsidRPr="00AB1C80">
          <w:rPr>
            <w:rStyle w:val="Hipervnculo"/>
            <w:rFonts w:cs="Arial"/>
            <w:noProof/>
          </w:rPr>
          <w:t>RECOLECCIÓN DE INFORMACIÓN DE FUENTES PRIMARIAS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_Toc86332943 \h </w:instrText>
        </w:r>
        <w:r w:rsidR="00AB1C80" w:rsidRPr="00AB1C80">
          <w:rPr>
            <w:noProof/>
            <w:webHidden/>
          </w:rPr>
        </w:r>
        <w:r w:rsidR="00AB1C80" w:rsidRPr="00AB1C80">
          <w:rPr>
            <w:noProof/>
            <w:webHidden/>
          </w:rPr>
          <w:fldChar w:fldCharType="separate"/>
        </w:r>
        <w:r w:rsidR="006A4287">
          <w:rPr>
            <w:noProof/>
            <w:webHidden/>
          </w:rPr>
          <w:t>159</w:t>
        </w:r>
        <w:r w:rsidR="00AB1C80" w:rsidRPr="00AB1C80">
          <w:rPr>
            <w:noProof/>
            <w:webHidden/>
          </w:rPr>
          <w:fldChar w:fldCharType="end"/>
        </w:r>
      </w:hyperlink>
    </w:p>
    <w:p w14:paraId="046BF49B" w14:textId="39C78135"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44" w:history="1">
        <w:r w:rsidR="00AB1C80" w:rsidRPr="00AB1C80">
          <w:rPr>
            <w:rStyle w:val="Hipervnculo"/>
            <w:rFonts w:cs="Arial"/>
            <w:noProof/>
          </w:rPr>
          <w:t>4.1</w:t>
        </w:r>
        <w:r w:rsidR="00AB1C80" w:rsidRPr="00AB1C80">
          <w:rPr>
            <w:rFonts w:asciiTheme="minorHAnsi" w:eastAsiaTheme="minorEastAsia" w:hAnsiTheme="minorHAnsi"/>
            <w:noProof/>
            <w:lang w:eastAsia="es-CO"/>
          </w:rPr>
          <w:tab/>
        </w:r>
        <w:r w:rsidR="00AB1C80" w:rsidRPr="00AB1C80">
          <w:rPr>
            <w:rStyle w:val="Hipervnculo"/>
            <w:rFonts w:cs="Arial"/>
            <w:noProof/>
          </w:rPr>
          <w:t>Reuniones con empresas mineras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_Toc86332944 \h </w:instrText>
        </w:r>
        <w:r w:rsidR="00AB1C80" w:rsidRPr="00AB1C80">
          <w:rPr>
            <w:noProof/>
            <w:webHidden/>
          </w:rPr>
        </w:r>
        <w:r w:rsidR="00AB1C80" w:rsidRPr="00AB1C80">
          <w:rPr>
            <w:noProof/>
            <w:webHidden/>
          </w:rPr>
          <w:fldChar w:fldCharType="separate"/>
        </w:r>
        <w:r w:rsidR="006A4287">
          <w:rPr>
            <w:noProof/>
            <w:webHidden/>
          </w:rPr>
          <w:t>159</w:t>
        </w:r>
        <w:r w:rsidR="00AB1C80" w:rsidRPr="00AB1C80">
          <w:rPr>
            <w:noProof/>
            <w:webHidden/>
          </w:rPr>
          <w:fldChar w:fldCharType="end"/>
        </w:r>
      </w:hyperlink>
    </w:p>
    <w:p w14:paraId="3C93A1E5" w14:textId="6BF5353C" w:rsidR="00AB1C80" w:rsidRPr="00AB1C80" w:rsidRDefault="00563C81">
      <w:pPr>
        <w:pStyle w:val="TDC2"/>
        <w:tabs>
          <w:tab w:val="left" w:pos="960"/>
          <w:tab w:val="right" w:leader="dot" w:pos="8828"/>
        </w:tabs>
        <w:rPr>
          <w:rFonts w:asciiTheme="minorHAnsi" w:eastAsiaTheme="minorEastAsia" w:hAnsiTheme="minorHAnsi"/>
          <w:noProof/>
          <w:lang w:eastAsia="es-CO"/>
        </w:rPr>
      </w:pPr>
      <w:hyperlink w:anchor="_Toc86332945" w:history="1">
        <w:r w:rsidR="00AB1C80" w:rsidRPr="00AB1C80">
          <w:rPr>
            <w:rStyle w:val="Hipervnculo"/>
            <w:rFonts w:cs="Arial"/>
            <w:noProof/>
          </w:rPr>
          <w:t>4.2</w:t>
        </w:r>
        <w:r w:rsidR="00AB1C80" w:rsidRPr="00AB1C80">
          <w:rPr>
            <w:rFonts w:asciiTheme="minorHAnsi" w:eastAsiaTheme="minorEastAsia" w:hAnsiTheme="minorHAnsi"/>
            <w:noProof/>
            <w:lang w:eastAsia="es-CO"/>
          </w:rPr>
          <w:tab/>
        </w:r>
        <w:r w:rsidR="00AB1C80" w:rsidRPr="00AB1C80">
          <w:rPr>
            <w:rStyle w:val="Hipervnculo"/>
            <w:rFonts w:cs="Arial"/>
            <w:noProof/>
          </w:rPr>
          <w:t>Mesas de trabajo con actores mineros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_Toc86332945 \h </w:instrText>
        </w:r>
        <w:r w:rsidR="00AB1C80" w:rsidRPr="00AB1C80">
          <w:rPr>
            <w:noProof/>
            <w:webHidden/>
          </w:rPr>
        </w:r>
        <w:r w:rsidR="00AB1C80" w:rsidRPr="00AB1C80">
          <w:rPr>
            <w:noProof/>
            <w:webHidden/>
          </w:rPr>
          <w:fldChar w:fldCharType="separate"/>
        </w:r>
        <w:r w:rsidR="006A4287">
          <w:rPr>
            <w:noProof/>
            <w:webHidden/>
          </w:rPr>
          <w:t>166</w:t>
        </w:r>
        <w:r w:rsidR="00AB1C80" w:rsidRPr="00AB1C80">
          <w:rPr>
            <w:noProof/>
            <w:webHidden/>
          </w:rPr>
          <w:fldChar w:fldCharType="end"/>
        </w:r>
      </w:hyperlink>
    </w:p>
    <w:p w14:paraId="06B6A1E4" w14:textId="0E4D9E0B"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46" w:history="1">
        <w:r w:rsidR="00AB1C80" w:rsidRPr="00AB1C80">
          <w:rPr>
            <w:rStyle w:val="Hipervnculo"/>
            <w:rFonts w:cs="Arial"/>
            <w:bCs/>
            <w:noProof/>
          </w:rPr>
          <w:t>5</w:t>
        </w:r>
        <w:r w:rsidR="00AB1C80" w:rsidRPr="00AB1C80">
          <w:rPr>
            <w:rFonts w:asciiTheme="minorHAnsi" w:eastAsiaTheme="minorEastAsia" w:hAnsiTheme="minorHAnsi"/>
            <w:b w:val="0"/>
            <w:noProof/>
            <w:lang w:eastAsia="es-CO"/>
          </w:rPr>
          <w:tab/>
        </w:r>
        <w:r w:rsidR="00AB1C80" w:rsidRPr="00AB1C80">
          <w:rPr>
            <w:rStyle w:val="Hipervnculo"/>
            <w:rFonts w:cs="Arial"/>
            <w:noProof/>
          </w:rPr>
          <w:t>CONCLUSIONES</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_Toc86332946 \h </w:instrText>
        </w:r>
        <w:r w:rsidR="00AB1C80" w:rsidRPr="00AB1C80">
          <w:rPr>
            <w:noProof/>
            <w:webHidden/>
          </w:rPr>
        </w:r>
        <w:r w:rsidR="00AB1C80" w:rsidRPr="00AB1C80">
          <w:rPr>
            <w:noProof/>
            <w:webHidden/>
          </w:rPr>
          <w:fldChar w:fldCharType="separate"/>
        </w:r>
        <w:r w:rsidR="006A4287">
          <w:rPr>
            <w:noProof/>
            <w:webHidden/>
          </w:rPr>
          <w:t>174</w:t>
        </w:r>
        <w:r w:rsidR="00AB1C80" w:rsidRPr="00AB1C80">
          <w:rPr>
            <w:noProof/>
            <w:webHidden/>
          </w:rPr>
          <w:fldChar w:fldCharType="end"/>
        </w:r>
      </w:hyperlink>
    </w:p>
    <w:p w14:paraId="276D572F" w14:textId="7922E668" w:rsidR="00AB1C80" w:rsidRPr="00AB1C80" w:rsidRDefault="00563C81">
      <w:pPr>
        <w:pStyle w:val="TDC1"/>
        <w:tabs>
          <w:tab w:val="left" w:pos="480"/>
          <w:tab w:val="right" w:leader="dot" w:pos="8828"/>
        </w:tabs>
        <w:rPr>
          <w:rFonts w:asciiTheme="minorHAnsi" w:eastAsiaTheme="minorEastAsia" w:hAnsiTheme="minorHAnsi"/>
          <w:b w:val="0"/>
          <w:noProof/>
          <w:lang w:eastAsia="es-CO"/>
        </w:rPr>
      </w:pPr>
      <w:hyperlink w:anchor="_Toc86332947" w:history="1">
        <w:r w:rsidR="00AB1C80" w:rsidRPr="00AB1C80">
          <w:rPr>
            <w:rStyle w:val="Hipervnculo"/>
            <w:rFonts w:cs="Arial"/>
            <w:bCs/>
            <w:noProof/>
          </w:rPr>
          <w:t>6</w:t>
        </w:r>
        <w:r w:rsidR="00AB1C80" w:rsidRPr="00AB1C80">
          <w:rPr>
            <w:rFonts w:asciiTheme="minorHAnsi" w:eastAsiaTheme="minorEastAsia" w:hAnsiTheme="minorHAnsi"/>
            <w:b w:val="0"/>
            <w:noProof/>
            <w:lang w:eastAsia="es-CO"/>
          </w:rPr>
          <w:tab/>
        </w:r>
        <w:r w:rsidR="00AB1C80" w:rsidRPr="00AB1C80">
          <w:rPr>
            <w:rStyle w:val="Hipervnculo"/>
            <w:rFonts w:cs="Arial"/>
            <w:noProof/>
          </w:rPr>
          <w:t>BIBLI</w:t>
        </w:r>
        <w:r w:rsidR="00AB1C80" w:rsidRPr="00AB1C80">
          <w:rPr>
            <w:rStyle w:val="Hipervnculo"/>
            <w:rFonts w:cs="Arial"/>
            <w:noProof/>
          </w:rPr>
          <w:t>O</w:t>
        </w:r>
        <w:r w:rsidR="00AB1C80" w:rsidRPr="00AB1C80">
          <w:rPr>
            <w:rStyle w:val="Hipervnculo"/>
            <w:rFonts w:cs="Arial"/>
            <w:noProof/>
          </w:rPr>
          <w:t>GRAFÍA</w:t>
        </w:r>
        <w:r w:rsidR="00AB1C80" w:rsidRPr="00AB1C80">
          <w:rPr>
            <w:noProof/>
            <w:webHidden/>
          </w:rPr>
          <w:tab/>
        </w:r>
        <w:r w:rsidR="00AB1C80" w:rsidRPr="00AB1C80">
          <w:rPr>
            <w:noProof/>
            <w:webHidden/>
          </w:rPr>
          <w:fldChar w:fldCharType="begin"/>
        </w:r>
        <w:r w:rsidR="00AB1C80" w:rsidRPr="00AB1C80">
          <w:rPr>
            <w:noProof/>
            <w:webHidden/>
          </w:rPr>
          <w:instrText xml:space="preserve"> PAGEREF _Toc86332947 \h </w:instrText>
        </w:r>
        <w:r w:rsidR="00AB1C80" w:rsidRPr="00AB1C80">
          <w:rPr>
            <w:noProof/>
            <w:webHidden/>
          </w:rPr>
        </w:r>
        <w:r w:rsidR="00AB1C80" w:rsidRPr="00AB1C80">
          <w:rPr>
            <w:noProof/>
            <w:webHidden/>
          </w:rPr>
          <w:fldChar w:fldCharType="separate"/>
        </w:r>
        <w:r w:rsidR="006A4287">
          <w:rPr>
            <w:noProof/>
            <w:webHidden/>
          </w:rPr>
          <w:t>179</w:t>
        </w:r>
        <w:r w:rsidR="00AB1C80" w:rsidRPr="00AB1C80">
          <w:rPr>
            <w:noProof/>
            <w:webHidden/>
          </w:rPr>
          <w:fldChar w:fldCharType="end"/>
        </w:r>
      </w:hyperlink>
    </w:p>
    <w:p w14:paraId="0EF3895B" w14:textId="28B6781F" w:rsidR="00146084" w:rsidRPr="00AB1C80" w:rsidRDefault="00F36645" w:rsidP="00AB1C80">
      <w:pPr>
        <w:spacing w:line="276" w:lineRule="auto"/>
        <w:jc w:val="center"/>
        <w:rPr>
          <w:rFonts w:cs="Arial"/>
          <w:b/>
          <w:color w:val="000000" w:themeColor="text1"/>
          <w:spacing w:val="20"/>
          <w:szCs w:val="24"/>
        </w:rPr>
      </w:pPr>
      <w:r w:rsidRPr="00AB1C80">
        <w:rPr>
          <w:rFonts w:cs="Arial"/>
          <w:b/>
          <w:color w:val="000000" w:themeColor="text1"/>
          <w:spacing w:val="20"/>
          <w:szCs w:val="24"/>
        </w:rPr>
        <w:fldChar w:fldCharType="end"/>
      </w:r>
    </w:p>
    <w:p w14:paraId="2FE910F9" w14:textId="77777777" w:rsidR="00146084" w:rsidRPr="00AB1C80" w:rsidRDefault="00146084" w:rsidP="00AB1C80">
      <w:pPr>
        <w:spacing w:line="276" w:lineRule="auto"/>
        <w:jc w:val="left"/>
        <w:rPr>
          <w:rFonts w:cs="Arial"/>
          <w:b/>
          <w:color w:val="000000" w:themeColor="text1"/>
          <w:spacing w:val="20"/>
          <w:szCs w:val="24"/>
        </w:rPr>
      </w:pPr>
      <w:r w:rsidRPr="00AB1C80">
        <w:rPr>
          <w:rFonts w:cs="Arial"/>
          <w:b/>
          <w:color w:val="000000" w:themeColor="text1"/>
          <w:spacing w:val="20"/>
          <w:szCs w:val="24"/>
        </w:rPr>
        <w:br w:type="page"/>
      </w:r>
    </w:p>
    <w:p w14:paraId="1B3CDAAE" w14:textId="77777777"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Cs w:val="24"/>
        </w:rPr>
        <w:lastRenderedPageBreak/>
        <w:t>LISTA DE TABLAS</w:t>
      </w:r>
    </w:p>
    <w:p w14:paraId="089DFDDC" w14:textId="77777777" w:rsidR="00146084" w:rsidRPr="00AB1C80" w:rsidRDefault="00146084" w:rsidP="00AB1C80">
      <w:pPr>
        <w:spacing w:line="276" w:lineRule="auto"/>
        <w:jc w:val="center"/>
        <w:rPr>
          <w:rFonts w:cs="Arial"/>
          <w:b/>
          <w:color w:val="000000" w:themeColor="text1"/>
          <w:szCs w:val="24"/>
        </w:rPr>
      </w:pPr>
    </w:p>
    <w:p w14:paraId="05EE86FC" w14:textId="67897534" w:rsidR="00AB1C80" w:rsidRDefault="00146084">
      <w:pPr>
        <w:pStyle w:val="Tabladeilustraciones"/>
        <w:tabs>
          <w:tab w:val="right" w:leader="dot" w:pos="8828"/>
        </w:tabs>
        <w:rPr>
          <w:rFonts w:asciiTheme="minorHAnsi" w:eastAsiaTheme="minorEastAsia" w:hAnsiTheme="minorHAnsi"/>
          <w:noProof/>
          <w:lang w:eastAsia="es-CO"/>
        </w:rPr>
      </w:pPr>
      <w:r w:rsidRPr="00AB1C80">
        <w:rPr>
          <w:rFonts w:cs="Arial"/>
          <w:b/>
          <w:color w:val="000000" w:themeColor="text1"/>
          <w:sz w:val="24"/>
          <w:szCs w:val="24"/>
        </w:rPr>
        <w:fldChar w:fldCharType="begin"/>
      </w:r>
      <w:r w:rsidRPr="00AB1C80">
        <w:rPr>
          <w:rFonts w:cs="Arial"/>
          <w:b/>
          <w:color w:val="000000" w:themeColor="text1"/>
          <w:sz w:val="24"/>
          <w:szCs w:val="24"/>
        </w:rPr>
        <w:instrText xml:space="preserve"> TOC \h \z \c "Tabla" </w:instrText>
      </w:r>
      <w:r w:rsidRPr="00AB1C80">
        <w:rPr>
          <w:rFonts w:cs="Arial"/>
          <w:b/>
          <w:color w:val="000000" w:themeColor="text1"/>
          <w:sz w:val="24"/>
          <w:szCs w:val="24"/>
        </w:rPr>
        <w:fldChar w:fldCharType="separate"/>
      </w:r>
      <w:hyperlink w:anchor="_Toc86333006" w:history="1">
        <w:r w:rsidR="00AB1C80" w:rsidRPr="00BB1987">
          <w:rPr>
            <w:rStyle w:val="Hipervnculo"/>
            <w:rFonts w:eastAsia="Calibri" w:cs="Arial"/>
            <w:noProof/>
          </w:rPr>
          <w:t>Tabla 1. Empresas mineras recomendadas por el Ministerio de Minas y Energía.</w:t>
        </w:r>
        <w:r w:rsidR="00AB1C80">
          <w:rPr>
            <w:noProof/>
            <w:webHidden/>
          </w:rPr>
          <w:tab/>
        </w:r>
        <w:r w:rsidR="00AB1C80">
          <w:rPr>
            <w:noProof/>
            <w:webHidden/>
          </w:rPr>
          <w:fldChar w:fldCharType="begin"/>
        </w:r>
        <w:r w:rsidR="00AB1C80">
          <w:rPr>
            <w:noProof/>
            <w:webHidden/>
          </w:rPr>
          <w:instrText xml:space="preserve"> PAGEREF _Toc86333006 \h </w:instrText>
        </w:r>
        <w:r w:rsidR="00AB1C80">
          <w:rPr>
            <w:noProof/>
            <w:webHidden/>
          </w:rPr>
        </w:r>
        <w:r w:rsidR="00AB1C80">
          <w:rPr>
            <w:noProof/>
            <w:webHidden/>
          </w:rPr>
          <w:fldChar w:fldCharType="separate"/>
        </w:r>
        <w:r w:rsidR="006A4287">
          <w:rPr>
            <w:noProof/>
            <w:webHidden/>
          </w:rPr>
          <w:t>16</w:t>
        </w:r>
        <w:r w:rsidR="00AB1C80">
          <w:rPr>
            <w:noProof/>
            <w:webHidden/>
          </w:rPr>
          <w:fldChar w:fldCharType="end"/>
        </w:r>
      </w:hyperlink>
    </w:p>
    <w:p w14:paraId="2ABD28C5" w14:textId="2EBCDC2F" w:rsidR="00AB1C80" w:rsidRDefault="00563C81">
      <w:pPr>
        <w:pStyle w:val="Tabladeilustraciones"/>
        <w:tabs>
          <w:tab w:val="right" w:leader="dot" w:pos="8828"/>
        </w:tabs>
        <w:rPr>
          <w:rFonts w:asciiTheme="minorHAnsi" w:eastAsiaTheme="minorEastAsia" w:hAnsiTheme="minorHAnsi"/>
          <w:noProof/>
          <w:lang w:eastAsia="es-CO"/>
        </w:rPr>
      </w:pPr>
      <w:hyperlink w:anchor="_Toc86333007" w:history="1">
        <w:r w:rsidR="00AB1C80" w:rsidRPr="00BB1987">
          <w:rPr>
            <w:rStyle w:val="Hipervnculo"/>
            <w:rFonts w:cs="Arial"/>
            <w:noProof/>
          </w:rPr>
          <w:t>Tabla 2. Relación de correos enviados a Empresas Mineras.</w:t>
        </w:r>
        <w:r w:rsidR="00AB1C80">
          <w:rPr>
            <w:noProof/>
            <w:webHidden/>
          </w:rPr>
          <w:tab/>
        </w:r>
        <w:r w:rsidR="00AB1C80">
          <w:rPr>
            <w:noProof/>
            <w:webHidden/>
          </w:rPr>
          <w:fldChar w:fldCharType="begin"/>
        </w:r>
        <w:r w:rsidR="00AB1C80">
          <w:rPr>
            <w:noProof/>
            <w:webHidden/>
          </w:rPr>
          <w:instrText xml:space="preserve"> PAGEREF _Toc86333007 \h </w:instrText>
        </w:r>
        <w:r w:rsidR="00AB1C80">
          <w:rPr>
            <w:noProof/>
            <w:webHidden/>
          </w:rPr>
        </w:r>
        <w:r w:rsidR="00AB1C80">
          <w:rPr>
            <w:noProof/>
            <w:webHidden/>
          </w:rPr>
          <w:fldChar w:fldCharType="separate"/>
        </w:r>
        <w:r w:rsidR="006A4287">
          <w:rPr>
            <w:noProof/>
            <w:webHidden/>
          </w:rPr>
          <w:t>17</w:t>
        </w:r>
        <w:r w:rsidR="00AB1C80">
          <w:rPr>
            <w:noProof/>
            <w:webHidden/>
          </w:rPr>
          <w:fldChar w:fldCharType="end"/>
        </w:r>
      </w:hyperlink>
    </w:p>
    <w:p w14:paraId="35D1E263" w14:textId="2E043BE4" w:rsidR="00AB1C80" w:rsidRDefault="00563C81">
      <w:pPr>
        <w:pStyle w:val="Tabladeilustraciones"/>
        <w:tabs>
          <w:tab w:val="right" w:leader="dot" w:pos="8828"/>
        </w:tabs>
        <w:rPr>
          <w:rFonts w:asciiTheme="minorHAnsi" w:eastAsiaTheme="minorEastAsia" w:hAnsiTheme="minorHAnsi"/>
          <w:noProof/>
          <w:lang w:eastAsia="es-CO"/>
        </w:rPr>
      </w:pPr>
      <w:hyperlink w:anchor="_Toc86333008" w:history="1">
        <w:r w:rsidR="00AB1C80" w:rsidRPr="00BB1987">
          <w:rPr>
            <w:rStyle w:val="Hipervnculo"/>
            <w:rFonts w:cs="Arial"/>
            <w:noProof/>
          </w:rPr>
          <w:t>Tabla 3. Relación de correos enviados a Actores Mineros.</w:t>
        </w:r>
        <w:r w:rsidR="00AB1C80">
          <w:rPr>
            <w:noProof/>
            <w:webHidden/>
          </w:rPr>
          <w:tab/>
        </w:r>
        <w:r w:rsidR="00AB1C80">
          <w:rPr>
            <w:noProof/>
            <w:webHidden/>
          </w:rPr>
          <w:fldChar w:fldCharType="begin"/>
        </w:r>
        <w:r w:rsidR="00AB1C80">
          <w:rPr>
            <w:noProof/>
            <w:webHidden/>
          </w:rPr>
          <w:instrText xml:space="preserve"> PAGEREF _Toc86333008 \h </w:instrText>
        </w:r>
        <w:r w:rsidR="00AB1C80">
          <w:rPr>
            <w:noProof/>
            <w:webHidden/>
          </w:rPr>
        </w:r>
        <w:r w:rsidR="00AB1C80">
          <w:rPr>
            <w:noProof/>
            <w:webHidden/>
          </w:rPr>
          <w:fldChar w:fldCharType="separate"/>
        </w:r>
        <w:r w:rsidR="006A4287">
          <w:rPr>
            <w:noProof/>
            <w:webHidden/>
          </w:rPr>
          <w:t>19</w:t>
        </w:r>
        <w:r w:rsidR="00AB1C80">
          <w:rPr>
            <w:noProof/>
            <w:webHidden/>
          </w:rPr>
          <w:fldChar w:fldCharType="end"/>
        </w:r>
      </w:hyperlink>
    </w:p>
    <w:p w14:paraId="4FE6BB1E" w14:textId="1E0A8AB8" w:rsidR="00AB1C80" w:rsidRDefault="00563C81">
      <w:pPr>
        <w:pStyle w:val="Tabladeilustraciones"/>
        <w:tabs>
          <w:tab w:val="right" w:leader="dot" w:pos="8828"/>
        </w:tabs>
        <w:rPr>
          <w:rFonts w:asciiTheme="minorHAnsi" w:eastAsiaTheme="minorEastAsia" w:hAnsiTheme="minorHAnsi"/>
          <w:noProof/>
          <w:lang w:eastAsia="es-CO"/>
        </w:rPr>
      </w:pPr>
      <w:hyperlink w:anchor="_Toc86333009" w:history="1">
        <w:r w:rsidR="00AB1C80" w:rsidRPr="00BB1987">
          <w:rPr>
            <w:rStyle w:val="Hipervnculo"/>
            <w:rFonts w:cs="Arial"/>
            <w:noProof/>
          </w:rPr>
          <w:t>Tabla 4. Etapas del proyecto.</w:t>
        </w:r>
        <w:r w:rsidR="00AB1C80">
          <w:rPr>
            <w:noProof/>
            <w:webHidden/>
          </w:rPr>
          <w:tab/>
        </w:r>
        <w:r w:rsidR="00AB1C80">
          <w:rPr>
            <w:noProof/>
            <w:webHidden/>
          </w:rPr>
          <w:fldChar w:fldCharType="begin"/>
        </w:r>
        <w:r w:rsidR="00AB1C80">
          <w:rPr>
            <w:noProof/>
            <w:webHidden/>
          </w:rPr>
          <w:instrText xml:space="preserve"> PAGEREF _Toc86333009 \h </w:instrText>
        </w:r>
        <w:r w:rsidR="00AB1C80">
          <w:rPr>
            <w:noProof/>
            <w:webHidden/>
          </w:rPr>
        </w:r>
        <w:r w:rsidR="00AB1C80">
          <w:rPr>
            <w:noProof/>
            <w:webHidden/>
          </w:rPr>
          <w:fldChar w:fldCharType="separate"/>
        </w:r>
        <w:r w:rsidR="006A4287">
          <w:rPr>
            <w:noProof/>
            <w:webHidden/>
          </w:rPr>
          <w:t>21</w:t>
        </w:r>
        <w:r w:rsidR="00AB1C80">
          <w:rPr>
            <w:noProof/>
            <w:webHidden/>
          </w:rPr>
          <w:fldChar w:fldCharType="end"/>
        </w:r>
      </w:hyperlink>
    </w:p>
    <w:p w14:paraId="61A54EDB" w14:textId="5432050E" w:rsidR="00AB1C80" w:rsidRDefault="00563C81">
      <w:pPr>
        <w:pStyle w:val="Tabladeilustraciones"/>
        <w:tabs>
          <w:tab w:val="right" w:leader="dot" w:pos="8828"/>
        </w:tabs>
        <w:rPr>
          <w:rFonts w:asciiTheme="minorHAnsi" w:eastAsiaTheme="minorEastAsia" w:hAnsiTheme="minorHAnsi"/>
          <w:noProof/>
          <w:lang w:eastAsia="es-CO"/>
        </w:rPr>
      </w:pPr>
      <w:hyperlink w:anchor="_Toc86333010" w:history="1">
        <w:r w:rsidR="00AB1C80" w:rsidRPr="00BB1987">
          <w:rPr>
            <w:rStyle w:val="Hipervnculo"/>
            <w:rFonts w:cs="Arial"/>
            <w:noProof/>
          </w:rPr>
          <w:t>Tabla 5. Documentos revisados en la temática nacional para gestión y manejo de estériles.</w:t>
        </w:r>
        <w:r w:rsidR="00AB1C80">
          <w:rPr>
            <w:noProof/>
            <w:webHidden/>
          </w:rPr>
          <w:tab/>
        </w:r>
        <w:r w:rsidR="00AB1C80">
          <w:rPr>
            <w:noProof/>
            <w:webHidden/>
          </w:rPr>
          <w:fldChar w:fldCharType="begin"/>
        </w:r>
        <w:r w:rsidR="00AB1C80">
          <w:rPr>
            <w:noProof/>
            <w:webHidden/>
          </w:rPr>
          <w:instrText xml:space="preserve"> PAGEREF _Toc86333010 \h </w:instrText>
        </w:r>
        <w:r w:rsidR="00AB1C80">
          <w:rPr>
            <w:noProof/>
            <w:webHidden/>
          </w:rPr>
        </w:r>
        <w:r w:rsidR="00AB1C80">
          <w:rPr>
            <w:noProof/>
            <w:webHidden/>
          </w:rPr>
          <w:fldChar w:fldCharType="separate"/>
        </w:r>
        <w:r w:rsidR="006A4287">
          <w:rPr>
            <w:noProof/>
            <w:webHidden/>
          </w:rPr>
          <w:t>31</w:t>
        </w:r>
        <w:r w:rsidR="00AB1C80">
          <w:rPr>
            <w:noProof/>
            <w:webHidden/>
          </w:rPr>
          <w:fldChar w:fldCharType="end"/>
        </w:r>
      </w:hyperlink>
    </w:p>
    <w:p w14:paraId="1DCF030C" w14:textId="1A225AE8" w:rsidR="00AB1C80" w:rsidRDefault="00563C81">
      <w:pPr>
        <w:pStyle w:val="Tabladeilustraciones"/>
        <w:tabs>
          <w:tab w:val="right" w:leader="dot" w:pos="8828"/>
        </w:tabs>
        <w:rPr>
          <w:rFonts w:asciiTheme="minorHAnsi" w:eastAsiaTheme="minorEastAsia" w:hAnsiTheme="minorHAnsi"/>
          <w:noProof/>
          <w:lang w:eastAsia="es-CO"/>
        </w:rPr>
      </w:pPr>
      <w:hyperlink w:anchor="_Toc86333011" w:history="1">
        <w:r w:rsidR="00AB1C80" w:rsidRPr="00BB1987">
          <w:rPr>
            <w:rStyle w:val="Hipervnculo"/>
            <w:rFonts w:cs="Arial"/>
            <w:noProof/>
          </w:rPr>
          <w:t>Tabla 6. Revisión de información nacional por artículos para la gestión y manejo de estériles.</w:t>
        </w:r>
        <w:r w:rsidR="00AB1C80">
          <w:rPr>
            <w:noProof/>
            <w:webHidden/>
          </w:rPr>
          <w:tab/>
        </w:r>
        <w:r w:rsidR="00AB1C80">
          <w:rPr>
            <w:noProof/>
            <w:webHidden/>
          </w:rPr>
          <w:fldChar w:fldCharType="begin"/>
        </w:r>
        <w:r w:rsidR="00AB1C80">
          <w:rPr>
            <w:noProof/>
            <w:webHidden/>
          </w:rPr>
          <w:instrText xml:space="preserve"> PAGEREF _Toc86333011 \h </w:instrText>
        </w:r>
        <w:r w:rsidR="00AB1C80">
          <w:rPr>
            <w:noProof/>
            <w:webHidden/>
          </w:rPr>
        </w:r>
        <w:r w:rsidR="00AB1C80">
          <w:rPr>
            <w:noProof/>
            <w:webHidden/>
          </w:rPr>
          <w:fldChar w:fldCharType="separate"/>
        </w:r>
        <w:r w:rsidR="006A4287">
          <w:rPr>
            <w:noProof/>
            <w:webHidden/>
          </w:rPr>
          <w:t>32</w:t>
        </w:r>
        <w:r w:rsidR="00AB1C80">
          <w:rPr>
            <w:noProof/>
            <w:webHidden/>
          </w:rPr>
          <w:fldChar w:fldCharType="end"/>
        </w:r>
      </w:hyperlink>
    </w:p>
    <w:p w14:paraId="29B4B4E2" w14:textId="4AC94CB9" w:rsidR="00AB1C80" w:rsidRDefault="00563C81">
      <w:pPr>
        <w:pStyle w:val="Tabladeilustraciones"/>
        <w:tabs>
          <w:tab w:val="right" w:leader="dot" w:pos="8828"/>
        </w:tabs>
        <w:rPr>
          <w:rFonts w:asciiTheme="minorHAnsi" w:eastAsiaTheme="minorEastAsia" w:hAnsiTheme="minorHAnsi"/>
          <w:noProof/>
          <w:lang w:eastAsia="es-CO"/>
        </w:rPr>
      </w:pPr>
      <w:hyperlink w:anchor="_Toc86333012" w:history="1">
        <w:r w:rsidR="00AB1C80" w:rsidRPr="00BB1987">
          <w:rPr>
            <w:rStyle w:val="Hipervnculo"/>
            <w:rFonts w:cs="Arial"/>
            <w:noProof/>
          </w:rPr>
          <w:t>Tabla 7. Revisión de información nacional por guías técnicas para la gestión y manejo de estériles.</w:t>
        </w:r>
        <w:r w:rsidR="00AB1C80">
          <w:rPr>
            <w:noProof/>
            <w:webHidden/>
          </w:rPr>
          <w:tab/>
        </w:r>
        <w:r w:rsidR="00AB1C80">
          <w:rPr>
            <w:noProof/>
            <w:webHidden/>
          </w:rPr>
          <w:fldChar w:fldCharType="begin"/>
        </w:r>
        <w:r w:rsidR="00AB1C80">
          <w:rPr>
            <w:noProof/>
            <w:webHidden/>
          </w:rPr>
          <w:instrText xml:space="preserve"> PAGEREF _Toc86333012 \h </w:instrText>
        </w:r>
        <w:r w:rsidR="00AB1C80">
          <w:rPr>
            <w:noProof/>
            <w:webHidden/>
          </w:rPr>
        </w:r>
        <w:r w:rsidR="00AB1C80">
          <w:rPr>
            <w:noProof/>
            <w:webHidden/>
          </w:rPr>
          <w:fldChar w:fldCharType="separate"/>
        </w:r>
        <w:r w:rsidR="006A4287">
          <w:rPr>
            <w:noProof/>
            <w:webHidden/>
          </w:rPr>
          <w:t>33</w:t>
        </w:r>
        <w:r w:rsidR="00AB1C80">
          <w:rPr>
            <w:noProof/>
            <w:webHidden/>
          </w:rPr>
          <w:fldChar w:fldCharType="end"/>
        </w:r>
      </w:hyperlink>
    </w:p>
    <w:p w14:paraId="148C0D8F" w14:textId="356EB2E8" w:rsidR="00AB1C80" w:rsidRDefault="00563C81">
      <w:pPr>
        <w:pStyle w:val="Tabladeilustraciones"/>
        <w:tabs>
          <w:tab w:val="right" w:leader="dot" w:pos="8828"/>
        </w:tabs>
        <w:rPr>
          <w:rFonts w:asciiTheme="minorHAnsi" w:eastAsiaTheme="minorEastAsia" w:hAnsiTheme="minorHAnsi"/>
          <w:noProof/>
          <w:lang w:eastAsia="es-CO"/>
        </w:rPr>
      </w:pPr>
      <w:hyperlink w:anchor="_Toc86333013" w:history="1">
        <w:r w:rsidR="00AB1C80" w:rsidRPr="00BB1987">
          <w:rPr>
            <w:rStyle w:val="Hipervnculo"/>
            <w:rFonts w:cs="Arial"/>
            <w:noProof/>
          </w:rPr>
          <w:t>Tabla 8. Revisión de información nacional por presentaciones para la gestión y manejo de estériles.</w:t>
        </w:r>
        <w:r w:rsidR="00AB1C80">
          <w:rPr>
            <w:noProof/>
            <w:webHidden/>
          </w:rPr>
          <w:tab/>
        </w:r>
        <w:r w:rsidR="00AB1C80">
          <w:rPr>
            <w:noProof/>
            <w:webHidden/>
          </w:rPr>
          <w:fldChar w:fldCharType="begin"/>
        </w:r>
        <w:r w:rsidR="00AB1C80">
          <w:rPr>
            <w:noProof/>
            <w:webHidden/>
          </w:rPr>
          <w:instrText xml:space="preserve"> PAGEREF _Toc86333013 \h </w:instrText>
        </w:r>
        <w:r w:rsidR="00AB1C80">
          <w:rPr>
            <w:noProof/>
            <w:webHidden/>
          </w:rPr>
        </w:r>
        <w:r w:rsidR="00AB1C80">
          <w:rPr>
            <w:noProof/>
            <w:webHidden/>
          </w:rPr>
          <w:fldChar w:fldCharType="separate"/>
        </w:r>
        <w:r w:rsidR="006A4287">
          <w:rPr>
            <w:noProof/>
            <w:webHidden/>
          </w:rPr>
          <w:t>35</w:t>
        </w:r>
        <w:r w:rsidR="00AB1C80">
          <w:rPr>
            <w:noProof/>
            <w:webHidden/>
          </w:rPr>
          <w:fldChar w:fldCharType="end"/>
        </w:r>
      </w:hyperlink>
    </w:p>
    <w:p w14:paraId="5BF0D70D" w14:textId="4E4AB35A" w:rsidR="00AB1C80" w:rsidRDefault="00563C81">
      <w:pPr>
        <w:pStyle w:val="Tabladeilustraciones"/>
        <w:tabs>
          <w:tab w:val="right" w:leader="dot" w:pos="8828"/>
        </w:tabs>
        <w:rPr>
          <w:rFonts w:asciiTheme="minorHAnsi" w:eastAsiaTheme="minorEastAsia" w:hAnsiTheme="minorHAnsi"/>
          <w:noProof/>
          <w:lang w:eastAsia="es-CO"/>
        </w:rPr>
      </w:pPr>
      <w:hyperlink w:anchor="_Toc86333014" w:history="1">
        <w:r w:rsidR="00AB1C80" w:rsidRPr="00BB1987">
          <w:rPr>
            <w:rStyle w:val="Hipervnculo"/>
            <w:rFonts w:cs="Arial"/>
            <w:noProof/>
          </w:rPr>
          <w:t>Tabla 9. Revisión de información nacional por términos de referencia para la gestión y manejo de estériles.</w:t>
        </w:r>
        <w:r w:rsidR="00AB1C80">
          <w:rPr>
            <w:noProof/>
            <w:webHidden/>
          </w:rPr>
          <w:tab/>
        </w:r>
        <w:r w:rsidR="00AB1C80">
          <w:rPr>
            <w:noProof/>
            <w:webHidden/>
          </w:rPr>
          <w:fldChar w:fldCharType="begin"/>
        </w:r>
        <w:r w:rsidR="00AB1C80">
          <w:rPr>
            <w:noProof/>
            <w:webHidden/>
          </w:rPr>
          <w:instrText xml:space="preserve"> PAGEREF _Toc86333014 \h </w:instrText>
        </w:r>
        <w:r w:rsidR="00AB1C80">
          <w:rPr>
            <w:noProof/>
            <w:webHidden/>
          </w:rPr>
        </w:r>
        <w:r w:rsidR="00AB1C80">
          <w:rPr>
            <w:noProof/>
            <w:webHidden/>
          </w:rPr>
          <w:fldChar w:fldCharType="separate"/>
        </w:r>
        <w:r w:rsidR="006A4287">
          <w:rPr>
            <w:noProof/>
            <w:webHidden/>
          </w:rPr>
          <w:t>35</w:t>
        </w:r>
        <w:r w:rsidR="00AB1C80">
          <w:rPr>
            <w:noProof/>
            <w:webHidden/>
          </w:rPr>
          <w:fldChar w:fldCharType="end"/>
        </w:r>
      </w:hyperlink>
    </w:p>
    <w:p w14:paraId="4176FF17" w14:textId="01D67C0D" w:rsidR="00AB1C80" w:rsidRDefault="00563C81">
      <w:pPr>
        <w:pStyle w:val="Tabladeilustraciones"/>
        <w:tabs>
          <w:tab w:val="right" w:leader="dot" w:pos="8828"/>
        </w:tabs>
        <w:rPr>
          <w:rFonts w:asciiTheme="minorHAnsi" w:eastAsiaTheme="minorEastAsia" w:hAnsiTheme="minorHAnsi"/>
          <w:noProof/>
          <w:lang w:eastAsia="es-CO"/>
        </w:rPr>
      </w:pPr>
      <w:hyperlink w:anchor="_Toc86333015" w:history="1">
        <w:r w:rsidR="00AB1C80" w:rsidRPr="00BB1987">
          <w:rPr>
            <w:rStyle w:val="Hipervnculo"/>
            <w:rFonts w:cs="Arial"/>
            <w:noProof/>
          </w:rPr>
          <w:t>Tabla 10. Revisión de información nacional por tesis para la gestión y manejo de estériles.</w:t>
        </w:r>
        <w:r w:rsidR="00AB1C80">
          <w:rPr>
            <w:noProof/>
            <w:webHidden/>
          </w:rPr>
          <w:tab/>
        </w:r>
        <w:r w:rsidR="00AB1C80">
          <w:rPr>
            <w:noProof/>
            <w:webHidden/>
          </w:rPr>
          <w:fldChar w:fldCharType="begin"/>
        </w:r>
        <w:r w:rsidR="00AB1C80">
          <w:rPr>
            <w:noProof/>
            <w:webHidden/>
          </w:rPr>
          <w:instrText xml:space="preserve"> PAGEREF _Toc86333015 \h </w:instrText>
        </w:r>
        <w:r w:rsidR="00AB1C80">
          <w:rPr>
            <w:noProof/>
            <w:webHidden/>
          </w:rPr>
        </w:r>
        <w:r w:rsidR="00AB1C80">
          <w:rPr>
            <w:noProof/>
            <w:webHidden/>
          </w:rPr>
          <w:fldChar w:fldCharType="separate"/>
        </w:r>
        <w:r w:rsidR="006A4287">
          <w:rPr>
            <w:noProof/>
            <w:webHidden/>
          </w:rPr>
          <w:t>38</w:t>
        </w:r>
        <w:r w:rsidR="00AB1C80">
          <w:rPr>
            <w:noProof/>
            <w:webHidden/>
          </w:rPr>
          <w:fldChar w:fldCharType="end"/>
        </w:r>
      </w:hyperlink>
    </w:p>
    <w:p w14:paraId="0D24E861" w14:textId="66F59FED" w:rsidR="00AB1C80" w:rsidRDefault="00563C81">
      <w:pPr>
        <w:pStyle w:val="Tabladeilustraciones"/>
        <w:tabs>
          <w:tab w:val="right" w:leader="dot" w:pos="8828"/>
        </w:tabs>
        <w:rPr>
          <w:rFonts w:asciiTheme="minorHAnsi" w:eastAsiaTheme="minorEastAsia" w:hAnsiTheme="minorHAnsi"/>
          <w:noProof/>
          <w:lang w:eastAsia="es-CO"/>
        </w:rPr>
      </w:pPr>
      <w:hyperlink w:anchor="_Toc86333016" w:history="1">
        <w:r w:rsidR="00AB1C80" w:rsidRPr="00BB1987">
          <w:rPr>
            <w:rStyle w:val="Hipervnculo"/>
            <w:rFonts w:cs="Arial"/>
            <w:noProof/>
          </w:rPr>
          <w:t>Tabla 11. Documentos revisados en la temática internacional para gestión y manejo de estériles.</w:t>
        </w:r>
        <w:r w:rsidR="00AB1C80">
          <w:rPr>
            <w:noProof/>
            <w:webHidden/>
          </w:rPr>
          <w:tab/>
        </w:r>
        <w:r w:rsidR="00AB1C80">
          <w:rPr>
            <w:noProof/>
            <w:webHidden/>
          </w:rPr>
          <w:fldChar w:fldCharType="begin"/>
        </w:r>
        <w:r w:rsidR="00AB1C80">
          <w:rPr>
            <w:noProof/>
            <w:webHidden/>
          </w:rPr>
          <w:instrText xml:space="preserve"> PAGEREF _Toc86333016 \h </w:instrText>
        </w:r>
        <w:r w:rsidR="00AB1C80">
          <w:rPr>
            <w:noProof/>
            <w:webHidden/>
          </w:rPr>
        </w:r>
        <w:r w:rsidR="00AB1C80">
          <w:rPr>
            <w:noProof/>
            <w:webHidden/>
          </w:rPr>
          <w:fldChar w:fldCharType="separate"/>
        </w:r>
        <w:r w:rsidR="006A4287">
          <w:rPr>
            <w:noProof/>
            <w:webHidden/>
          </w:rPr>
          <w:t>47</w:t>
        </w:r>
        <w:r w:rsidR="00AB1C80">
          <w:rPr>
            <w:noProof/>
            <w:webHidden/>
          </w:rPr>
          <w:fldChar w:fldCharType="end"/>
        </w:r>
      </w:hyperlink>
    </w:p>
    <w:p w14:paraId="5BF38E9A" w14:textId="358BBEA8" w:rsidR="00AB1C80" w:rsidRDefault="00563C81">
      <w:pPr>
        <w:pStyle w:val="Tabladeilustraciones"/>
        <w:tabs>
          <w:tab w:val="right" w:leader="dot" w:pos="8828"/>
        </w:tabs>
        <w:rPr>
          <w:rFonts w:asciiTheme="minorHAnsi" w:eastAsiaTheme="minorEastAsia" w:hAnsiTheme="minorHAnsi"/>
          <w:noProof/>
          <w:lang w:eastAsia="es-CO"/>
        </w:rPr>
      </w:pPr>
      <w:hyperlink w:anchor="_Toc86333017" w:history="1">
        <w:r w:rsidR="00AB1C80" w:rsidRPr="00BB1987">
          <w:rPr>
            <w:rStyle w:val="Hipervnculo"/>
            <w:rFonts w:cs="Arial"/>
            <w:noProof/>
          </w:rPr>
          <w:t>Tabla 12. Revisión de información internacional por artículos para la gestión y manejo de estériles.</w:t>
        </w:r>
        <w:r w:rsidR="00AB1C80">
          <w:rPr>
            <w:noProof/>
            <w:webHidden/>
          </w:rPr>
          <w:tab/>
        </w:r>
        <w:r w:rsidR="00AB1C80">
          <w:rPr>
            <w:noProof/>
            <w:webHidden/>
          </w:rPr>
          <w:fldChar w:fldCharType="begin"/>
        </w:r>
        <w:r w:rsidR="00AB1C80">
          <w:rPr>
            <w:noProof/>
            <w:webHidden/>
          </w:rPr>
          <w:instrText xml:space="preserve"> PAGEREF _Toc86333017 \h </w:instrText>
        </w:r>
        <w:r w:rsidR="00AB1C80">
          <w:rPr>
            <w:noProof/>
            <w:webHidden/>
          </w:rPr>
        </w:r>
        <w:r w:rsidR="00AB1C80">
          <w:rPr>
            <w:noProof/>
            <w:webHidden/>
          </w:rPr>
          <w:fldChar w:fldCharType="separate"/>
        </w:r>
        <w:r w:rsidR="006A4287">
          <w:rPr>
            <w:noProof/>
            <w:webHidden/>
          </w:rPr>
          <w:t>48</w:t>
        </w:r>
        <w:r w:rsidR="00AB1C80">
          <w:rPr>
            <w:noProof/>
            <w:webHidden/>
          </w:rPr>
          <w:fldChar w:fldCharType="end"/>
        </w:r>
      </w:hyperlink>
    </w:p>
    <w:p w14:paraId="29B2A115" w14:textId="2AFFB166" w:rsidR="00AB1C80" w:rsidRDefault="00563C81">
      <w:pPr>
        <w:pStyle w:val="Tabladeilustraciones"/>
        <w:tabs>
          <w:tab w:val="right" w:leader="dot" w:pos="8828"/>
        </w:tabs>
        <w:rPr>
          <w:rFonts w:asciiTheme="minorHAnsi" w:eastAsiaTheme="minorEastAsia" w:hAnsiTheme="minorHAnsi"/>
          <w:noProof/>
          <w:lang w:eastAsia="es-CO"/>
        </w:rPr>
      </w:pPr>
      <w:hyperlink w:anchor="_Toc86333018" w:history="1">
        <w:r w:rsidR="00AB1C80" w:rsidRPr="00BB1987">
          <w:rPr>
            <w:rStyle w:val="Hipervnculo"/>
            <w:rFonts w:cs="Arial"/>
            <w:noProof/>
          </w:rPr>
          <w:t>Tabla 13. Revisión de información internacional por documentos oficinales para la gestión y manejo de estériles.</w:t>
        </w:r>
        <w:r w:rsidR="00AB1C80">
          <w:rPr>
            <w:noProof/>
            <w:webHidden/>
          </w:rPr>
          <w:tab/>
        </w:r>
        <w:r w:rsidR="00AB1C80">
          <w:rPr>
            <w:noProof/>
            <w:webHidden/>
          </w:rPr>
          <w:fldChar w:fldCharType="begin"/>
        </w:r>
        <w:r w:rsidR="00AB1C80">
          <w:rPr>
            <w:noProof/>
            <w:webHidden/>
          </w:rPr>
          <w:instrText xml:space="preserve"> PAGEREF _Toc86333018 \h </w:instrText>
        </w:r>
        <w:r w:rsidR="00AB1C80">
          <w:rPr>
            <w:noProof/>
            <w:webHidden/>
          </w:rPr>
        </w:r>
        <w:r w:rsidR="00AB1C80">
          <w:rPr>
            <w:noProof/>
            <w:webHidden/>
          </w:rPr>
          <w:fldChar w:fldCharType="separate"/>
        </w:r>
        <w:r w:rsidR="006A4287">
          <w:rPr>
            <w:noProof/>
            <w:webHidden/>
          </w:rPr>
          <w:t>49</w:t>
        </w:r>
        <w:r w:rsidR="00AB1C80">
          <w:rPr>
            <w:noProof/>
            <w:webHidden/>
          </w:rPr>
          <w:fldChar w:fldCharType="end"/>
        </w:r>
      </w:hyperlink>
    </w:p>
    <w:p w14:paraId="44DA7520" w14:textId="5D7923CD" w:rsidR="00AB1C80" w:rsidRDefault="00563C81">
      <w:pPr>
        <w:pStyle w:val="Tabladeilustraciones"/>
        <w:tabs>
          <w:tab w:val="right" w:leader="dot" w:pos="8828"/>
        </w:tabs>
        <w:rPr>
          <w:rFonts w:asciiTheme="minorHAnsi" w:eastAsiaTheme="minorEastAsia" w:hAnsiTheme="minorHAnsi"/>
          <w:noProof/>
          <w:lang w:eastAsia="es-CO"/>
        </w:rPr>
      </w:pPr>
      <w:hyperlink w:anchor="_Toc86333019" w:history="1">
        <w:r w:rsidR="00AB1C80" w:rsidRPr="00BB1987">
          <w:rPr>
            <w:rStyle w:val="Hipervnculo"/>
            <w:rFonts w:cs="Arial"/>
            <w:noProof/>
          </w:rPr>
          <w:t>Tabla 14. Revisión de información internacional por guías técnicas para la gestión y manejo de estériles.</w:t>
        </w:r>
        <w:r w:rsidR="00AB1C80">
          <w:rPr>
            <w:noProof/>
            <w:webHidden/>
          </w:rPr>
          <w:tab/>
        </w:r>
        <w:r w:rsidR="00AB1C80">
          <w:rPr>
            <w:noProof/>
            <w:webHidden/>
          </w:rPr>
          <w:fldChar w:fldCharType="begin"/>
        </w:r>
        <w:r w:rsidR="00AB1C80">
          <w:rPr>
            <w:noProof/>
            <w:webHidden/>
          </w:rPr>
          <w:instrText xml:space="preserve"> PAGEREF _Toc86333019 \h </w:instrText>
        </w:r>
        <w:r w:rsidR="00AB1C80">
          <w:rPr>
            <w:noProof/>
            <w:webHidden/>
          </w:rPr>
        </w:r>
        <w:r w:rsidR="00AB1C80">
          <w:rPr>
            <w:noProof/>
            <w:webHidden/>
          </w:rPr>
          <w:fldChar w:fldCharType="separate"/>
        </w:r>
        <w:r w:rsidR="006A4287">
          <w:rPr>
            <w:noProof/>
            <w:webHidden/>
          </w:rPr>
          <w:t>50</w:t>
        </w:r>
        <w:r w:rsidR="00AB1C80">
          <w:rPr>
            <w:noProof/>
            <w:webHidden/>
          </w:rPr>
          <w:fldChar w:fldCharType="end"/>
        </w:r>
      </w:hyperlink>
    </w:p>
    <w:p w14:paraId="0BCC25F1" w14:textId="336D875C" w:rsidR="00AB1C80" w:rsidRDefault="00563C81">
      <w:pPr>
        <w:pStyle w:val="Tabladeilustraciones"/>
        <w:tabs>
          <w:tab w:val="right" w:leader="dot" w:pos="8828"/>
        </w:tabs>
        <w:rPr>
          <w:rFonts w:asciiTheme="minorHAnsi" w:eastAsiaTheme="minorEastAsia" w:hAnsiTheme="minorHAnsi"/>
          <w:noProof/>
          <w:lang w:eastAsia="es-CO"/>
        </w:rPr>
      </w:pPr>
      <w:hyperlink w:anchor="_Toc86333020" w:history="1">
        <w:r w:rsidR="00AB1C80" w:rsidRPr="00BB1987">
          <w:rPr>
            <w:rStyle w:val="Hipervnculo"/>
            <w:rFonts w:cs="Arial"/>
            <w:noProof/>
          </w:rPr>
          <w:t>Tabla 15. Revisión de información internacional por otros documentos para la gestión y manejo de estériles.</w:t>
        </w:r>
        <w:r w:rsidR="00AB1C80">
          <w:rPr>
            <w:noProof/>
            <w:webHidden/>
          </w:rPr>
          <w:tab/>
        </w:r>
        <w:r w:rsidR="00AB1C80">
          <w:rPr>
            <w:noProof/>
            <w:webHidden/>
          </w:rPr>
          <w:fldChar w:fldCharType="begin"/>
        </w:r>
        <w:r w:rsidR="00AB1C80">
          <w:rPr>
            <w:noProof/>
            <w:webHidden/>
          </w:rPr>
          <w:instrText xml:space="preserve"> PAGEREF _Toc86333020 \h </w:instrText>
        </w:r>
        <w:r w:rsidR="00AB1C80">
          <w:rPr>
            <w:noProof/>
            <w:webHidden/>
          </w:rPr>
        </w:r>
        <w:r w:rsidR="00AB1C80">
          <w:rPr>
            <w:noProof/>
            <w:webHidden/>
          </w:rPr>
          <w:fldChar w:fldCharType="separate"/>
        </w:r>
        <w:r w:rsidR="006A4287">
          <w:rPr>
            <w:noProof/>
            <w:webHidden/>
          </w:rPr>
          <w:t>60</w:t>
        </w:r>
        <w:r w:rsidR="00AB1C80">
          <w:rPr>
            <w:noProof/>
            <w:webHidden/>
          </w:rPr>
          <w:fldChar w:fldCharType="end"/>
        </w:r>
      </w:hyperlink>
    </w:p>
    <w:p w14:paraId="31D855CF" w14:textId="69C85EB3" w:rsidR="00AB1C80" w:rsidRDefault="00563C81">
      <w:pPr>
        <w:pStyle w:val="Tabladeilustraciones"/>
        <w:tabs>
          <w:tab w:val="right" w:leader="dot" w:pos="8828"/>
        </w:tabs>
        <w:rPr>
          <w:rFonts w:asciiTheme="minorHAnsi" w:eastAsiaTheme="minorEastAsia" w:hAnsiTheme="minorHAnsi"/>
          <w:noProof/>
          <w:lang w:eastAsia="es-CO"/>
        </w:rPr>
      </w:pPr>
      <w:hyperlink w:anchor="_Toc86333021" w:history="1">
        <w:r w:rsidR="00AB1C80" w:rsidRPr="00BB1987">
          <w:rPr>
            <w:rStyle w:val="Hipervnculo"/>
            <w:rFonts w:cs="Arial"/>
            <w:noProof/>
          </w:rPr>
          <w:t>Tabla 16. Revisión de información internacional por tesis para la gestión y manejo de estériles.</w:t>
        </w:r>
        <w:r w:rsidR="00AB1C80">
          <w:rPr>
            <w:noProof/>
            <w:webHidden/>
          </w:rPr>
          <w:tab/>
        </w:r>
        <w:r w:rsidR="00AB1C80">
          <w:rPr>
            <w:noProof/>
            <w:webHidden/>
          </w:rPr>
          <w:fldChar w:fldCharType="begin"/>
        </w:r>
        <w:r w:rsidR="00AB1C80">
          <w:rPr>
            <w:noProof/>
            <w:webHidden/>
          </w:rPr>
          <w:instrText xml:space="preserve"> PAGEREF _Toc86333021 \h </w:instrText>
        </w:r>
        <w:r w:rsidR="00AB1C80">
          <w:rPr>
            <w:noProof/>
            <w:webHidden/>
          </w:rPr>
        </w:r>
        <w:r w:rsidR="00AB1C80">
          <w:rPr>
            <w:noProof/>
            <w:webHidden/>
          </w:rPr>
          <w:fldChar w:fldCharType="separate"/>
        </w:r>
        <w:r w:rsidR="006A4287">
          <w:rPr>
            <w:noProof/>
            <w:webHidden/>
          </w:rPr>
          <w:t>63</w:t>
        </w:r>
        <w:r w:rsidR="00AB1C80">
          <w:rPr>
            <w:noProof/>
            <w:webHidden/>
          </w:rPr>
          <w:fldChar w:fldCharType="end"/>
        </w:r>
      </w:hyperlink>
    </w:p>
    <w:p w14:paraId="5360B612" w14:textId="20CEAF51" w:rsidR="00AB1C80" w:rsidRDefault="00563C81">
      <w:pPr>
        <w:pStyle w:val="Tabladeilustraciones"/>
        <w:tabs>
          <w:tab w:val="right" w:leader="dot" w:pos="8828"/>
        </w:tabs>
        <w:rPr>
          <w:rFonts w:asciiTheme="minorHAnsi" w:eastAsiaTheme="minorEastAsia" w:hAnsiTheme="minorHAnsi"/>
          <w:noProof/>
          <w:lang w:eastAsia="es-CO"/>
        </w:rPr>
      </w:pPr>
      <w:hyperlink w:anchor="_Toc86333022" w:history="1">
        <w:r w:rsidR="00AB1C80" w:rsidRPr="00BB1987">
          <w:rPr>
            <w:rStyle w:val="Hipervnculo"/>
            <w:rFonts w:cs="Arial"/>
            <w:noProof/>
          </w:rPr>
          <w:t>Tabla 17. Relación del marco legal internacional sobre gestión y manejo del material estéril en minería.</w:t>
        </w:r>
        <w:r w:rsidR="00AB1C80">
          <w:rPr>
            <w:noProof/>
            <w:webHidden/>
          </w:rPr>
          <w:tab/>
        </w:r>
        <w:r w:rsidR="00AB1C80">
          <w:rPr>
            <w:noProof/>
            <w:webHidden/>
          </w:rPr>
          <w:fldChar w:fldCharType="begin"/>
        </w:r>
        <w:r w:rsidR="00AB1C80">
          <w:rPr>
            <w:noProof/>
            <w:webHidden/>
          </w:rPr>
          <w:instrText xml:space="preserve"> PAGEREF _Toc86333022 \h </w:instrText>
        </w:r>
        <w:r w:rsidR="00AB1C80">
          <w:rPr>
            <w:noProof/>
            <w:webHidden/>
          </w:rPr>
        </w:r>
        <w:r w:rsidR="00AB1C80">
          <w:rPr>
            <w:noProof/>
            <w:webHidden/>
          </w:rPr>
          <w:fldChar w:fldCharType="separate"/>
        </w:r>
        <w:r w:rsidR="006A4287">
          <w:rPr>
            <w:noProof/>
            <w:webHidden/>
          </w:rPr>
          <w:t>72</w:t>
        </w:r>
        <w:r w:rsidR="00AB1C80">
          <w:rPr>
            <w:noProof/>
            <w:webHidden/>
          </w:rPr>
          <w:fldChar w:fldCharType="end"/>
        </w:r>
      </w:hyperlink>
    </w:p>
    <w:p w14:paraId="4035C281" w14:textId="292B57BC" w:rsidR="00AB1C80" w:rsidRDefault="00563C81">
      <w:pPr>
        <w:pStyle w:val="Tabladeilustraciones"/>
        <w:tabs>
          <w:tab w:val="right" w:leader="dot" w:pos="8828"/>
        </w:tabs>
        <w:rPr>
          <w:rFonts w:asciiTheme="minorHAnsi" w:eastAsiaTheme="minorEastAsia" w:hAnsiTheme="minorHAnsi"/>
          <w:noProof/>
          <w:lang w:eastAsia="es-CO"/>
        </w:rPr>
      </w:pPr>
      <w:hyperlink w:anchor="_Toc86333023" w:history="1">
        <w:r w:rsidR="00AB1C80" w:rsidRPr="00BB1987">
          <w:rPr>
            <w:rStyle w:val="Hipervnculo"/>
            <w:rFonts w:cs="Arial"/>
            <w:noProof/>
          </w:rPr>
          <w:t>Tabla 18. Documentos revisados en la temática nacional para economía circular.</w:t>
        </w:r>
        <w:r w:rsidR="00AB1C80">
          <w:rPr>
            <w:noProof/>
            <w:webHidden/>
          </w:rPr>
          <w:tab/>
        </w:r>
        <w:r w:rsidR="00AB1C80">
          <w:rPr>
            <w:noProof/>
            <w:webHidden/>
          </w:rPr>
          <w:fldChar w:fldCharType="begin"/>
        </w:r>
        <w:r w:rsidR="00AB1C80">
          <w:rPr>
            <w:noProof/>
            <w:webHidden/>
          </w:rPr>
          <w:instrText xml:space="preserve"> PAGEREF _Toc86333023 \h </w:instrText>
        </w:r>
        <w:r w:rsidR="00AB1C80">
          <w:rPr>
            <w:noProof/>
            <w:webHidden/>
          </w:rPr>
        </w:r>
        <w:r w:rsidR="00AB1C80">
          <w:rPr>
            <w:noProof/>
            <w:webHidden/>
          </w:rPr>
          <w:fldChar w:fldCharType="separate"/>
        </w:r>
        <w:r w:rsidR="006A4287">
          <w:rPr>
            <w:noProof/>
            <w:webHidden/>
          </w:rPr>
          <w:t>75</w:t>
        </w:r>
        <w:r w:rsidR="00AB1C80">
          <w:rPr>
            <w:noProof/>
            <w:webHidden/>
          </w:rPr>
          <w:fldChar w:fldCharType="end"/>
        </w:r>
      </w:hyperlink>
    </w:p>
    <w:p w14:paraId="6973B344" w14:textId="1F1A62B7" w:rsidR="00AB1C80" w:rsidRDefault="00563C81">
      <w:pPr>
        <w:pStyle w:val="Tabladeilustraciones"/>
        <w:tabs>
          <w:tab w:val="right" w:leader="dot" w:pos="8828"/>
        </w:tabs>
        <w:rPr>
          <w:rFonts w:asciiTheme="minorHAnsi" w:eastAsiaTheme="minorEastAsia" w:hAnsiTheme="minorHAnsi"/>
          <w:noProof/>
          <w:lang w:eastAsia="es-CO"/>
        </w:rPr>
      </w:pPr>
      <w:hyperlink w:anchor="_Toc86333024" w:history="1">
        <w:r w:rsidR="00AB1C80" w:rsidRPr="00BB1987">
          <w:rPr>
            <w:rStyle w:val="Hipervnculo"/>
            <w:rFonts w:cs="Arial"/>
            <w:noProof/>
          </w:rPr>
          <w:t>Tabla 19. Revisión de información nacional por artículos para economía circular.</w:t>
        </w:r>
        <w:r w:rsidR="00AB1C80">
          <w:rPr>
            <w:noProof/>
            <w:webHidden/>
          </w:rPr>
          <w:tab/>
        </w:r>
        <w:r w:rsidR="00AB1C80">
          <w:rPr>
            <w:noProof/>
            <w:webHidden/>
          </w:rPr>
          <w:fldChar w:fldCharType="begin"/>
        </w:r>
        <w:r w:rsidR="00AB1C80">
          <w:rPr>
            <w:noProof/>
            <w:webHidden/>
          </w:rPr>
          <w:instrText xml:space="preserve"> PAGEREF _Toc86333024 \h </w:instrText>
        </w:r>
        <w:r w:rsidR="00AB1C80">
          <w:rPr>
            <w:noProof/>
            <w:webHidden/>
          </w:rPr>
        </w:r>
        <w:r w:rsidR="00AB1C80">
          <w:rPr>
            <w:noProof/>
            <w:webHidden/>
          </w:rPr>
          <w:fldChar w:fldCharType="separate"/>
        </w:r>
        <w:r w:rsidR="006A4287">
          <w:rPr>
            <w:noProof/>
            <w:webHidden/>
          </w:rPr>
          <w:t>76</w:t>
        </w:r>
        <w:r w:rsidR="00AB1C80">
          <w:rPr>
            <w:noProof/>
            <w:webHidden/>
          </w:rPr>
          <w:fldChar w:fldCharType="end"/>
        </w:r>
      </w:hyperlink>
    </w:p>
    <w:p w14:paraId="16B120D5" w14:textId="1A124D81" w:rsidR="00AB1C80" w:rsidRDefault="00563C81">
      <w:pPr>
        <w:pStyle w:val="Tabladeilustraciones"/>
        <w:tabs>
          <w:tab w:val="right" w:leader="dot" w:pos="8828"/>
        </w:tabs>
        <w:rPr>
          <w:rFonts w:asciiTheme="minorHAnsi" w:eastAsiaTheme="minorEastAsia" w:hAnsiTheme="minorHAnsi"/>
          <w:noProof/>
          <w:lang w:eastAsia="es-CO"/>
        </w:rPr>
      </w:pPr>
      <w:hyperlink w:anchor="_Toc86333025" w:history="1">
        <w:r w:rsidR="00AB1C80" w:rsidRPr="00BB1987">
          <w:rPr>
            <w:rStyle w:val="Hipervnculo"/>
            <w:rFonts w:cs="Arial"/>
            <w:noProof/>
          </w:rPr>
          <w:t>Tabla 20. Revisión de información nacional por documentos oficiales para economía circular.</w:t>
        </w:r>
        <w:r w:rsidR="00AB1C80">
          <w:rPr>
            <w:noProof/>
            <w:webHidden/>
          </w:rPr>
          <w:tab/>
        </w:r>
        <w:r w:rsidR="00AB1C80">
          <w:rPr>
            <w:noProof/>
            <w:webHidden/>
          </w:rPr>
          <w:fldChar w:fldCharType="begin"/>
        </w:r>
        <w:r w:rsidR="00AB1C80">
          <w:rPr>
            <w:noProof/>
            <w:webHidden/>
          </w:rPr>
          <w:instrText xml:space="preserve"> PAGEREF _Toc86333025 \h </w:instrText>
        </w:r>
        <w:r w:rsidR="00AB1C80">
          <w:rPr>
            <w:noProof/>
            <w:webHidden/>
          </w:rPr>
        </w:r>
        <w:r w:rsidR="00AB1C80">
          <w:rPr>
            <w:noProof/>
            <w:webHidden/>
          </w:rPr>
          <w:fldChar w:fldCharType="separate"/>
        </w:r>
        <w:r w:rsidR="006A4287">
          <w:rPr>
            <w:noProof/>
            <w:webHidden/>
          </w:rPr>
          <w:t>76</w:t>
        </w:r>
        <w:r w:rsidR="00AB1C80">
          <w:rPr>
            <w:noProof/>
            <w:webHidden/>
          </w:rPr>
          <w:fldChar w:fldCharType="end"/>
        </w:r>
      </w:hyperlink>
    </w:p>
    <w:p w14:paraId="244538CA" w14:textId="1EABAB41" w:rsidR="00AB1C80" w:rsidRDefault="00563C81">
      <w:pPr>
        <w:pStyle w:val="Tabladeilustraciones"/>
        <w:tabs>
          <w:tab w:val="right" w:leader="dot" w:pos="8828"/>
        </w:tabs>
        <w:rPr>
          <w:rFonts w:asciiTheme="minorHAnsi" w:eastAsiaTheme="minorEastAsia" w:hAnsiTheme="minorHAnsi"/>
          <w:noProof/>
          <w:lang w:eastAsia="es-CO"/>
        </w:rPr>
      </w:pPr>
      <w:hyperlink w:anchor="_Toc86333026" w:history="1">
        <w:r w:rsidR="00AB1C80" w:rsidRPr="00BB1987">
          <w:rPr>
            <w:rStyle w:val="Hipervnculo"/>
            <w:rFonts w:cs="Arial"/>
            <w:noProof/>
          </w:rPr>
          <w:t>Tabla 21. Revisión de información nacional por guías técnicas para economía circular.</w:t>
        </w:r>
        <w:r w:rsidR="00AB1C80">
          <w:rPr>
            <w:noProof/>
            <w:webHidden/>
          </w:rPr>
          <w:tab/>
        </w:r>
        <w:r w:rsidR="00AB1C80">
          <w:rPr>
            <w:noProof/>
            <w:webHidden/>
          </w:rPr>
          <w:fldChar w:fldCharType="begin"/>
        </w:r>
        <w:r w:rsidR="00AB1C80">
          <w:rPr>
            <w:noProof/>
            <w:webHidden/>
          </w:rPr>
          <w:instrText xml:space="preserve"> PAGEREF _Toc86333026 \h </w:instrText>
        </w:r>
        <w:r w:rsidR="00AB1C80">
          <w:rPr>
            <w:noProof/>
            <w:webHidden/>
          </w:rPr>
        </w:r>
        <w:r w:rsidR="00AB1C80">
          <w:rPr>
            <w:noProof/>
            <w:webHidden/>
          </w:rPr>
          <w:fldChar w:fldCharType="separate"/>
        </w:r>
        <w:r w:rsidR="006A4287">
          <w:rPr>
            <w:noProof/>
            <w:webHidden/>
          </w:rPr>
          <w:t>77</w:t>
        </w:r>
        <w:r w:rsidR="00AB1C80">
          <w:rPr>
            <w:noProof/>
            <w:webHidden/>
          </w:rPr>
          <w:fldChar w:fldCharType="end"/>
        </w:r>
      </w:hyperlink>
    </w:p>
    <w:p w14:paraId="0EA053B6" w14:textId="0F21F335" w:rsidR="00AB1C80" w:rsidRDefault="00563C81">
      <w:pPr>
        <w:pStyle w:val="Tabladeilustraciones"/>
        <w:tabs>
          <w:tab w:val="right" w:leader="dot" w:pos="8828"/>
        </w:tabs>
        <w:rPr>
          <w:rFonts w:asciiTheme="minorHAnsi" w:eastAsiaTheme="minorEastAsia" w:hAnsiTheme="minorHAnsi"/>
          <w:noProof/>
          <w:lang w:eastAsia="es-CO"/>
        </w:rPr>
      </w:pPr>
      <w:hyperlink w:anchor="_Toc86333027" w:history="1">
        <w:r w:rsidR="00AB1C80" w:rsidRPr="00BB1987">
          <w:rPr>
            <w:rStyle w:val="Hipervnculo"/>
            <w:rFonts w:cs="Arial"/>
            <w:noProof/>
          </w:rPr>
          <w:t>Tabla 22. Revisión de información nacional por otros documentos para economía circular.</w:t>
        </w:r>
        <w:r w:rsidR="00AB1C80">
          <w:rPr>
            <w:noProof/>
            <w:webHidden/>
          </w:rPr>
          <w:tab/>
        </w:r>
        <w:r w:rsidR="00AB1C80">
          <w:rPr>
            <w:noProof/>
            <w:webHidden/>
          </w:rPr>
          <w:fldChar w:fldCharType="begin"/>
        </w:r>
        <w:r w:rsidR="00AB1C80">
          <w:rPr>
            <w:noProof/>
            <w:webHidden/>
          </w:rPr>
          <w:instrText xml:space="preserve"> PAGEREF _Toc86333027 \h </w:instrText>
        </w:r>
        <w:r w:rsidR="00AB1C80">
          <w:rPr>
            <w:noProof/>
            <w:webHidden/>
          </w:rPr>
        </w:r>
        <w:r w:rsidR="00AB1C80">
          <w:rPr>
            <w:noProof/>
            <w:webHidden/>
          </w:rPr>
          <w:fldChar w:fldCharType="separate"/>
        </w:r>
        <w:r w:rsidR="006A4287">
          <w:rPr>
            <w:noProof/>
            <w:webHidden/>
          </w:rPr>
          <w:t>79</w:t>
        </w:r>
        <w:r w:rsidR="00AB1C80">
          <w:rPr>
            <w:noProof/>
            <w:webHidden/>
          </w:rPr>
          <w:fldChar w:fldCharType="end"/>
        </w:r>
      </w:hyperlink>
    </w:p>
    <w:p w14:paraId="37B814AE" w14:textId="36A33AFC" w:rsidR="00AB1C80" w:rsidRDefault="00563C81">
      <w:pPr>
        <w:pStyle w:val="Tabladeilustraciones"/>
        <w:tabs>
          <w:tab w:val="right" w:leader="dot" w:pos="8828"/>
        </w:tabs>
        <w:rPr>
          <w:rFonts w:asciiTheme="minorHAnsi" w:eastAsiaTheme="minorEastAsia" w:hAnsiTheme="minorHAnsi"/>
          <w:noProof/>
          <w:lang w:eastAsia="es-CO"/>
        </w:rPr>
      </w:pPr>
      <w:hyperlink w:anchor="_Toc86333028" w:history="1">
        <w:r w:rsidR="00AB1C80" w:rsidRPr="00BB1987">
          <w:rPr>
            <w:rStyle w:val="Hipervnculo"/>
            <w:rFonts w:cs="Arial"/>
            <w:noProof/>
          </w:rPr>
          <w:t>Tabla 23. Revisión de información nacional por presentaciones para economía circular.</w:t>
        </w:r>
        <w:r w:rsidR="00AB1C80">
          <w:rPr>
            <w:noProof/>
            <w:webHidden/>
          </w:rPr>
          <w:tab/>
        </w:r>
        <w:r w:rsidR="00AB1C80">
          <w:rPr>
            <w:noProof/>
            <w:webHidden/>
          </w:rPr>
          <w:fldChar w:fldCharType="begin"/>
        </w:r>
        <w:r w:rsidR="00AB1C80">
          <w:rPr>
            <w:noProof/>
            <w:webHidden/>
          </w:rPr>
          <w:instrText xml:space="preserve"> PAGEREF _Toc86333028 \h </w:instrText>
        </w:r>
        <w:r w:rsidR="00AB1C80">
          <w:rPr>
            <w:noProof/>
            <w:webHidden/>
          </w:rPr>
        </w:r>
        <w:r w:rsidR="00AB1C80">
          <w:rPr>
            <w:noProof/>
            <w:webHidden/>
          </w:rPr>
          <w:fldChar w:fldCharType="separate"/>
        </w:r>
        <w:r w:rsidR="006A4287">
          <w:rPr>
            <w:noProof/>
            <w:webHidden/>
          </w:rPr>
          <w:t>82</w:t>
        </w:r>
        <w:r w:rsidR="00AB1C80">
          <w:rPr>
            <w:noProof/>
            <w:webHidden/>
          </w:rPr>
          <w:fldChar w:fldCharType="end"/>
        </w:r>
      </w:hyperlink>
    </w:p>
    <w:p w14:paraId="2BFE2D74" w14:textId="107221F6" w:rsidR="00AB1C80" w:rsidRDefault="00563C81">
      <w:pPr>
        <w:pStyle w:val="Tabladeilustraciones"/>
        <w:tabs>
          <w:tab w:val="right" w:leader="dot" w:pos="8828"/>
        </w:tabs>
        <w:rPr>
          <w:rFonts w:asciiTheme="minorHAnsi" w:eastAsiaTheme="minorEastAsia" w:hAnsiTheme="minorHAnsi"/>
          <w:noProof/>
          <w:lang w:eastAsia="es-CO"/>
        </w:rPr>
      </w:pPr>
      <w:hyperlink w:anchor="_Toc86333029" w:history="1">
        <w:r w:rsidR="00AB1C80" w:rsidRPr="00BB1987">
          <w:rPr>
            <w:rStyle w:val="Hipervnculo"/>
            <w:rFonts w:cs="Arial"/>
            <w:noProof/>
          </w:rPr>
          <w:t>Tabla 24. Revisión de información nacional por tesis para economía circular.</w:t>
        </w:r>
        <w:r w:rsidR="00AB1C80">
          <w:rPr>
            <w:noProof/>
            <w:webHidden/>
          </w:rPr>
          <w:tab/>
        </w:r>
        <w:r w:rsidR="00AB1C80">
          <w:rPr>
            <w:noProof/>
            <w:webHidden/>
          </w:rPr>
          <w:fldChar w:fldCharType="begin"/>
        </w:r>
        <w:r w:rsidR="00AB1C80">
          <w:rPr>
            <w:noProof/>
            <w:webHidden/>
          </w:rPr>
          <w:instrText xml:space="preserve"> PAGEREF _Toc86333029 \h </w:instrText>
        </w:r>
        <w:r w:rsidR="00AB1C80">
          <w:rPr>
            <w:noProof/>
            <w:webHidden/>
          </w:rPr>
        </w:r>
        <w:r w:rsidR="00AB1C80">
          <w:rPr>
            <w:noProof/>
            <w:webHidden/>
          </w:rPr>
          <w:fldChar w:fldCharType="separate"/>
        </w:r>
        <w:r w:rsidR="006A4287">
          <w:rPr>
            <w:noProof/>
            <w:webHidden/>
          </w:rPr>
          <w:t>83</w:t>
        </w:r>
        <w:r w:rsidR="00AB1C80">
          <w:rPr>
            <w:noProof/>
            <w:webHidden/>
          </w:rPr>
          <w:fldChar w:fldCharType="end"/>
        </w:r>
      </w:hyperlink>
    </w:p>
    <w:p w14:paraId="5122979A" w14:textId="5B72C537" w:rsidR="00AB1C80" w:rsidRDefault="00563C81">
      <w:pPr>
        <w:pStyle w:val="Tabladeilustraciones"/>
        <w:tabs>
          <w:tab w:val="right" w:leader="dot" w:pos="8828"/>
        </w:tabs>
        <w:rPr>
          <w:rFonts w:asciiTheme="minorHAnsi" w:eastAsiaTheme="minorEastAsia" w:hAnsiTheme="minorHAnsi"/>
          <w:noProof/>
          <w:lang w:eastAsia="es-CO"/>
        </w:rPr>
      </w:pPr>
      <w:hyperlink w:anchor="_Toc86333030" w:history="1">
        <w:r w:rsidR="00AB1C80" w:rsidRPr="00BB1987">
          <w:rPr>
            <w:rStyle w:val="Hipervnculo"/>
            <w:rFonts w:cs="Arial"/>
            <w:noProof/>
          </w:rPr>
          <w:t>Tabla 25. Documentos revisados en la temática internacional economía circular.</w:t>
        </w:r>
        <w:r w:rsidR="00AB1C80">
          <w:rPr>
            <w:noProof/>
            <w:webHidden/>
          </w:rPr>
          <w:tab/>
        </w:r>
        <w:r w:rsidR="00AB1C80">
          <w:rPr>
            <w:noProof/>
            <w:webHidden/>
          </w:rPr>
          <w:fldChar w:fldCharType="begin"/>
        </w:r>
        <w:r w:rsidR="00AB1C80">
          <w:rPr>
            <w:noProof/>
            <w:webHidden/>
          </w:rPr>
          <w:instrText xml:space="preserve"> PAGEREF _Toc86333030 \h </w:instrText>
        </w:r>
        <w:r w:rsidR="00AB1C80">
          <w:rPr>
            <w:noProof/>
            <w:webHidden/>
          </w:rPr>
        </w:r>
        <w:r w:rsidR="00AB1C80">
          <w:rPr>
            <w:noProof/>
            <w:webHidden/>
          </w:rPr>
          <w:fldChar w:fldCharType="separate"/>
        </w:r>
        <w:r w:rsidR="006A4287">
          <w:rPr>
            <w:noProof/>
            <w:webHidden/>
          </w:rPr>
          <w:t>106</w:t>
        </w:r>
        <w:r w:rsidR="00AB1C80">
          <w:rPr>
            <w:noProof/>
            <w:webHidden/>
          </w:rPr>
          <w:fldChar w:fldCharType="end"/>
        </w:r>
      </w:hyperlink>
    </w:p>
    <w:p w14:paraId="371ECE54" w14:textId="2FFEB779" w:rsidR="00AB1C80" w:rsidRDefault="00563C81">
      <w:pPr>
        <w:pStyle w:val="Tabladeilustraciones"/>
        <w:tabs>
          <w:tab w:val="right" w:leader="dot" w:pos="8828"/>
        </w:tabs>
        <w:rPr>
          <w:rFonts w:asciiTheme="minorHAnsi" w:eastAsiaTheme="minorEastAsia" w:hAnsiTheme="minorHAnsi"/>
          <w:noProof/>
          <w:lang w:eastAsia="es-CO"/>
        </w:rPr>
      </w:pPr>
      <w:hyperlink w:anchor="_Toc86333031" w:history="1">
        <w:r w:rsidR="00AB1C80" w:rsidRPr="00BB1987">
          <w:rPr>
            <w:rStyle w:val="Hipervnculo"/>
            <w:rFonts w:cs="Arial"/>
            <w:noProof/>
          </w:rPr>
          <w:t>Tabla 26. Revisión de información internacional por artículos para economía circular.</w:t>
        </w:r>
        <w:r w:rsidR="00AB1C80">
          <w:rPr>
            <w:noProof/>
            <w:webHidden/>
          </w:rPr>
          <w:tab/>
        </w:r>
        <w:r w:rsidR="00AB1C80">
          <w:rPr>
            <w:noProof/>
            <w:webHidden/>
          </w:rPr>
          <w:fldChar w:fldCharType="begin"/>
        </w:r>
        <w:r w:rsidR="00AB1C80">
          <w:rPr>
            <w:noProof/>
            <w:webHidden/>
          </w:rPr>
          <w:instrText xml:space="preserve"> PAGEREF _Toc86333031 \h </w:instrText>
        </w:r>
        <w:r w:rsidR="00AB1C80">
          <w:rPr>
            <w:noProof/>
            <w:webHidden/>
          </w:rPr>
        </w:r>
        <w:r w:rsidR="00AB1C80">
          <w:rPr>
            <w:noProof/>
            <w:webHidden/>
          </w:rPr>
          <w:fldChar w:fldCharType="separate"/>
        </w:r>
        <w:r w:rsidR="006A4287">
          <w:rPr>
            <w:noProof/>
            <w:webHidden/>
          </w:rPr>
          <w:t>107</w:t>
        </w:r>
        <w:r w:rsidR="00AB1C80">
          <w:rPr>
            <w:noProof/>
            <w:webHidden/>
          </w:rPr>
          <w:fldChar w:fldCharType="end"/>
        </w:r>
      </w:hyperlink>
    </w:p>
    <w:p w14:paraId="33DE4F1F" w14:textId="4E08DC81" w:rsidR="00AB1C80" w:rsidRDefault="00563C81">
      <w:pPr>
        <w:pStyle w:val="Tabladeilustraciones"/>
        <w:tabs>
          <w:tab w:val="right" w:leader="dot" w:pos="8828"/>
        </w:tabs>
        <w:rPr>
          <w:rFonts w:asciiTheme="minorHAnsi" w:eastAsiaTheme="minorEastAsia" w:hAnsiTheme="minorHAnsi"/>
          <w:noProof/>
          <w:lang w:eastAsia="es-CO"/>
        </w:rPr>
      </w:pPr>
      <w:hyperlink w:anchor="_Toc86333032" w:history="1">
        <w:r w:rsidR="00AB1C80" w:rsidRPr="00BB1987">
          <w:rPr>
            <w:rStyle w:val="Hipervnculo"/>
            <w:rFonts w:cs="Arial"/>
            <w:noProof/>
          </w:rPr>
          <w:t>Tabla 27. Revisión de información internacional por documentos oficinales para economía circular.</w:t>
        </w:r>
        <w:r w:rsidR="00AB1C80">
          <w:rPr>
            <w:noProof/>
            <w:webHidden/>
          </w:rPr>
          <w:tab/>
        </w:r>
        <w:r w:rsidR="00AB1C80">
          <w:rPr>
            <w:noProof/>
            <w:webHidden/>
          </w:rPr>
          <w:fldChar w:fldCharType="begin"/>
        </w:r>
        <w:r w:rsidR="00AB1C80">
          <w:rPr>
            <w:noProof/>
            <w:webHidden/>
          </w:rPr>
          <w:instrText xml:space="preserve"> PAGEREF _Toc86333032 \h </w:instrText>
        </w:r>
        <w:r w:rsidR="00AB1C80">
          <w:rPr>
            <w:noProof/>
            <w:webHidden/>
          </w:rPr>
        </w:r>
        <w:r w:rsidR="00AB1C80">
          <w:rPr>
            <w:noProof/>
            <w:webHidden/>
          </w:rPr>
          <w:fldChar w:fldCharType="separate"/>
        </w:r>
        <w:r w:rsidR="006A4287">
          <w:rPr>
            <w:noProof/>
            <w:webHidden/>
          </w:rPr>
          <w:t>114</w:t>
        </w:r>
        <w:r w:rsidR="00AB1C80">
          <w:rPr>
            <w:noProof/>
            <w:webHidden/>
          </w:rPr>
          <w:fldChar w:fldCharType="end"/>
        </w:r>
      </w:hyperlink>
    </w:p>
    <w:p w14:paraId="728E3399" w14:textId="57F0C67E" w:rsidR="00AB1C80" w:rsidRDefault="00563C81">
      <w:pPr>
        <w:pStyle w:val="Tabladeilustraciones"/>
        <w:tabs>
          <w:tab w:val="right" w:leader="dot" w:pos="8828"/>
        </w:tabs>
        <w:rPr>
          <w:rFonts w:asciiTheme="minorHAnsi" w:eastAsiaTheme="minorEastAsia" w:hAnsiTheme="minorHAnsi"/>
          <w:noProof/>
          <w:lang w:eastAsia="es-CO"/>
        </w:rPr>
      </w:pPr>
      <w:hyperlink w:anchor="_Toc86333033" w:history="1">
        <w:r w:rsidR="00AB1C80" w:rsidRPr="00BB1987">
          <w:rPr>
            <w:rStyle w:val="Hipervnculo"/>
            <w:rFonts w:cs="Arial"/>
            <w:noProof/>
          </w:rPr>
          <w:t>Tabla 28. Revisión de información internacional por guías técnicas para economía circular.</w:t>
        </w:r>
        <w:r w:rsidR="00AB1C80">
          <w:rPr>
            <w:noProof/>
            <w:webHidden/>
          </w:rPr>
          <w:tab/>
        </w:r>
        <w:r w:rsidR="00AB1C80">
          <w:rPr>
            <w:noProof/>
            <w:webHidden/>
          </w:rPr>
          <w:fldChar w:fldCharType="begin"/>
        </w:r>
        <w:r w:rsidR="00AB1C80">
          <w:rPr>
            <w:noProof/>
            <w:webHidden/>
          </w:rPr>
          <w:instrText xml:space="preserve"> PAGEREF _Toc86333033 \h </w:instrText>
        </w:r>
        <w:r w:rsidR="00AB1C80">
          <w:rPr>
            <w:noProof/>
            <w:webHidden/>
          </w:rPr>
        </w:r>
        <w:r w:rsidR="00AB1C80">
          <w:rPr>
            <w:noProof/>
            <w:webHidden/>
          </w:rPr>
          <w:fldChar w:fldCharType="separate"/>
        </w:r>
        <w:r w:rsidR="006A4287">
          <w:rPr>
            <w:noProof/>
            <w:webHidden/>
          </w:rPr>
          <w:t>115</w:t>
        </w:r>
        <w:r w:rsidR="00AB1C80">
          <w:rPr>
            <w:noProof/>
            <w:webHidden/>
          </w:rPr>
          <w:fldChar w:fldCharType="end"/>
        </w:r>
      </w:hyperlink>
    </w:p>
    <w:p w14:paraId="545E5E88" w14:textId="08E3EC97" w:rsidR="00AB1C80" w:rsidRDefault="00563C81">
      <w:pPr>
        <w:pStyle w:val="Tabladeilustraciones"/>
        <w:tabs>
          <w:tab w:val="right" w:leader="dot" w:pos="8828"/>
        </w:tabs>
        <w:rPr>
          <w:rFonts w:asciiTheme="minorHAnsi" w:eastAsiaTheme="minorEastAsia" w:hAnsiTheme="minorHAnsi"/>
          <w:noProof/>
          <w:lang w:eastAsia="es-CO"/>
        </w:rPr>
      </w:pPr>
      <w:hyperlink w:anchor="_Toc86333034" w:history="1">
        <w:r w:rsidR="00AB1C80" w:rsidRPr="00BB1987">
          <w:rPr>
            <w:rStyle w:val="Hipervnculo"/>
            <w:rFonts w:cs="Arial"/>
            <w:noProof/>
          </w:rPr>
          <w:t>Tabla 29. Revisión de información internacional por otros documentos para economía circular.</w:t>
        </w:r>
        <w:r w:rsidR="00AB1C80">
          <w:rPr>
            <w:noProof/>
            <w:webHidden/>
          </w:rPr>
          <w:tab/>
        </w:r>
        <w:r w:rsidR="00AB1C80">
          <w:rPr>
            <w:noProof/>
            <w:webHidden/>
          </w:rPr>
          <w:fldChar w:fldCharType="begin"/>
        </w:r>
        <w:r w:rsidR="00AB1C80">
          <w:rPr>
            <w:noProof/>
            <w:webHidden/>
          </w:rPr>
          <w:instrText xml:space="preserve"> PAGEREF _Toc86333034 \h </w:instrText>
        </w:r>
        <w:r w:rsidR="00AB1C80">
          <w:rPr>
            <w:noProof/>
            <w:webHidden/>
          </w:rPr>
        </w:r>
        <w:r w:rsidR="00AB1C80">
          <w:rPr>
            <w:noProof/>
            <w:webHidden/>
          </w:rPr>
          <w:fldChar w:fldCharType="separate"/>
        </w:r>
        <w:r w:rsidR="006A4287">
          <w:rPr>
            <w:noProof/>
            <w:webHidden/>
          </w:rPr>
          <w:t>116</w:t>
        </w:r>
        <w:r w:rsidR="00AB1C80">
          <w:rPr>
            <w:noProof/>
            <w:webHidden/>
          </w:rPr>
          <w:fldChar w:fldCharType="end"/>
        </w:r>
      </w:hyperlink>
    </w:p>
    <w:p w14:paraId="435D5B40" w14:textId="5025AFC0" w:rsidR="00AB1C80" w:rsidRDefault="00563C81">
      <w:pPr>
        <w:pStyle w:val="Tabladeilustraciones"/>
        <w:tabs>
          <w:tab w:val="right" w:leader="dot" w:pos="8828"/>
        </w:tabs>
        <w:rPr>
          <w:rFonts w:asciiTheme="minorHAnsi" w:eastAsiaTheme="minorEastAsia" w:hAnsiTheme="minorHAnsi"/>
          <w:noProof/>
          <w:lang w:eastAsia="es-CO"/>
        </w:rPr>
      </w:pPr>
      <w:hyperlink w:anchor="_Toc86333035" w:history="1">
        <w:r w:rsidR="00AB1C80" w:rsidRPr="00BB1987">
          <w:rPr>
            <w:rStyle w:val="Hipervnculo"/>
            <w:rFonts w:cs="Arial"/>
            <w:noProof/>
          </w:rPr>
          <w:t>Tabla 30. Revisión de información internacional por presentación para economía circular.</w:t>
        </w:r>
        <w:r w:rsidR="00AB1C80">
          <w:rPr>
            <w:noProof/>
            <w:webHidden/>
          </w:rPr>
          <w:tab/>
        </w:r>
        <w:r w:rsidR="00AB1C80">
          <w:rPr>
            <w:noProof/>
            <w:webHidden/>
          </w:rPr>
          <w:fldChar w:fldCharType="begin"/>
        </w:r>
        <w:r w:rsidR="00AB1C80">
          <w:rPr>
            <w:noProof/>
            <w:webHidden/>
          </w:rPr>
          <w:instrText xml:space="preserve"> PAGEREF _Toc86333035 \h </w:instrText>
        </w:r>
        <w:r w:rsidR="00AB1C80">
          <w:rPr>
            <w:noProof/>
            <w:webHidden/>
          </w:rPr>
        </w:r>
        <w:r w:rsidR="00AB1C80">
          <w:rPr>
            <w:noProof/>
            <w:webHidden/>
          </w:rPr>
          <w:fldChar w:fldCharType="separate"/>
        </w:r>
        <w:r w:rsidR="006A4287">
          <w:rPr>
            <w:noProof/>
            <w:webHidden/>
          </w:rPr>
          <w:t>122</w:t>
        </w:r>
        <w:r w:rsidR="00AB1C80">
          <w:rPr>
            <w:noProof/>
            <w:webHidden/>
          </w:rPr>
          <w:fldChar w:fldCharType="end"/>
        </w:r>
      </w:hyperlink>
    </w:p>
    <w:p w14:paraId="6F8289E7" w14:textId="35013718" w:rsidR="00AB1C80" w:rsidRDefault="00563C81">
      <w:pPr>
        <w:pStyle w:val="Tabladeilustraciones"/>
        <w:tabs>
          <w:tab w:val="right" w:leader="dot" w:pos="8828"/>
        </w:tabs>
        <w:rPr>
          <w:rFonts w:asciiTheme="minorHAnsi" w:eastAsiaTheme="minorEastAsia" w:hAnsiTheme="minorHAnsi"/>
          <w:noProof/>
          <w:lang w:eastAsia="es-CO"/>
        </w:rPr>
      </w:pPr>
      <w:hyperlink w:anchor="_Toc86333036" w:history="1">
        <w:r w:rsidR="00AB1C80" w:rsidRPr="00BB1987">
          <w:rPr>
            <w:rStyle w:val="Hipervnculo"/>
            <w:rFonts w:cs="Arial"/>
            <w:noProof/>
          </w:rPr>
          <w:t>Tabla 31. Revisión de información internacional por tesis para economía circular.</w:t>
        </w:r>
        <w:r w:rsidR="00AB1C80">
          <w:rPr>
            <w:noProof/>
            <w:webHidden/>
          </w:rPr>
          <w:tab/>
        </w:r>
        <w:r w:rsidR="00AB1C80">
          <w:rPr>
            <w:noProof/>
            <w:webHidden/>
          </w:rPr>
          <w:fldChar w:fldCharType="begin"/>
        </w:r>
        <w:r w:rsidR="00AB1C80">
          <w:rPr>
            <w:noProof/>
            <w:webHidden/>
          </w:rPr>
          <w:instrText xml:space="preserve"> PAGEREF _Toc86333036 \h </w:instrText>
        </w:r>
        <w:r w:rsidR="00AB1C80">
          <w:rPr>
            <w:noProof/>
            <w:webHidden/>
          </w:rPr>
        </w:r>
        <w:r w:rsidR="00AB1C80">
          <w:rPr>
            <w:noProof/>
            <w:webHidden/>
          </w:rPr>
          <w:fldChar w:fldCharType="separate"/>
        </w:r>
        <w:r w:rsidR="006A4287">
          <w:rPr>
            <w:noProof/>
            <w:webHidden/>
          </w:rPr>
          <w:t>122</w:t>
        </w:r>
        <w:r w:rsidR="00AB1C80">
          <w:rPr>
            <w:noProof/>
            <w:webHidden/>
          </w:rPr>
          <w:fldChar w:fldCharType="end"/>
        </w:r>
      </w:hyperlink>
    </w:p>
    <w:p w14:paraId="7DF15315" w14:textId="2F99FB46" w:rsidR="00AB1C80" w:rsidRDefault="00563C81">
      <w:pPr>
        <w:pStyle w:val="Tabladeilustraciones"/>
        <w:tabs>
          <w:tab w:val="right" w:leader="dot" w:pos="8828"/>
        </w:tabs>
        <w:rPr>
          <w:rFonts w:asciiTheme="minorHAnsi" w:eastAsiaTheme="minorEastAsia" w:hAnsiTheme="minorHAnsi"/>
          <w:noProof/>
          <w:lang w:eastAsia="es-CO"/>
        </w:rPr>
      </w:pPr>
      <w:hyperlink w:anchor="_Toc86333037" w:history="1">
        <w:r w:rsidR="00AB1C80" w:rsidRPr="00BB1987">
          <w:rPr>
            <w:rStyle w:val="Hipervnculo"/>
            <w:rFonts w:cs="Arial"/>
            <w:noProof/>
          </w:rPr>
          <w:t>Tabla 32. Relación del marco legal internacional sobre economía circular en minería.</w:t>
        </w:r>
        <w:r w:rsidR="00AB1C80">
          <w:rPr>
            <w:noProof/>
            <w:webHidden/>
          </w:rPr>
          <w:tab/>
        </w:r>
        <w:r w:rsidR="00AB1C80">
          <w:rPr>
            <w:noProof/>
            <w:webHidden/>
          </w:rPr>
          <w:fldChar w:fldCharType="begin"/>
        </w:r>
        <w:r w:rsidR="00AB1C80">
          <w:rPr>
            <w:noProof/>
            <w:webHidden/>
          </w:rPr>
          <w:instrText xml:space="preserve"> PAGEREF _Toc86333037 \h </w:instrText>
        </w:r>
        <w:r w:rsidR="00AB1C80">
          <w:rPr>
            <w:noProof/>
            <w:webHidden/>
          </w:rPr>
        </w:r>
        <w:r w:rsidR="00AB1C80">
          <w:rPr>
            <w:noProof/>
            <w:webHidden/>
          </w:rPr>
          <w:fldChar w:fldCharType="separate"/>
        </w:r>
        <w:r w:rsidR="006A4287">
          <w:rPr>
            <w:noProof/>
            <w:webHidden/>
          </w:rPr>
          <w:t>151</w:t>
        </w:r>
        <w:r w:rsidR="00AB1C80">
          <w:rPr>
            <w:noProof/>
            <w:webHidden/>
          </w:rPr>
          <w:fldChar w:fldCharType="end"/>
        </w:r>
      </w:hyperlink>
    </w:p>
    <w:p w14:paraId="2E0D49B0" w14:textId="009F2D87" w:rsidR="00AB1C80" w:rsidRDefault="00563C81">
      <w:pPr>
        <w:pStyle w:val="Tabladeilustraciones"/>
        <w:tabs>
          <w:tab w:val="right" w:leader="dot" w:pos="8828"/>
        </w:tabs>
        <w:rPr>
          <w:rFonts w:asciiTheme="minorHAnsi" w:eastAsiaTheme="minorEastAsia" w:hAnsiTheme="minorHAnsi"/>
          <w:noProof/>
          <w:lang w:eastAsia="es-CO"/>
        </w:rPr>
      </w:pPr>
      <w:hyperlink w:anchor="_Toc86333038" w:history="1">
        <w:r w:rsidR="00AB1C80" w:rsidRPr="00BB1987">
          <w:rPr>
            <w:rStyle w:val="Hipervnculo"/>
            <w:rFonts w:cs="Arial"/>
            <w:noProof/>
          </w:rPr>
          <w:t>Tabla 33. Aspectos importantes de las reuniones con Empresas Mineras.</w:t>
        </w:r>
        <w:r w:rsidR="00AB1C80">
          <w:rPr>
            <w:noProof/>
            <w:webHidden/>
          </w:rPr>
          <w:tab/>
        </w:r>
        <w:r w:rsidR="00AB1C80">
          <w:rPr>
            <w:noProof/>
            <w:webHidden/>
          </w:rPr>
          <w:fldChar w:fldCharType="begin"/>
        </w:r>
        <w:r w:rsidR="00AB1C80">
          <w:rPr>
            <w:noProof/>
            <w:webHidden/>
          </w:rPr>
          <w:instrText xml:space="preserve"> PAGEREF _Toc86333038 \h </w:instrText>
        </w:r>
        <w:r w:rsidR="00AB1C80">
          <w:rPr>
            <w:noProof/>
            <w:webHidden/>
          </w:rPr>
        </w:r>
        <w:r w:rsidR="00AB1C80">
          <w:rPr>
            <w:noProof/>
            <w:webHidden/>
          </w:rPr>
          <w:fldChar w:fldCharType="separate"/>
        </w:r>
        <w:r w:rsidR="006A4287">
          <w:rPr>
            <w:noProof/>
            <w:webHidden/>
          </w:rPr>
          <w:t>160</w:t>
        </w:r>
        <w:r w:rsidR="00AB1C80">
          <w:rPr>
            <w:noProof/>
            <w:webHidden/>
          </w:rPr>
          <w:fldChar w:fldCharType="end"/>
        </w:r>
      </w:hyperlink>
    </w:p>
    <w:p w14:paraId="4ED09E8F" w14:textId="24165D34" w:rsidR="00AB1C80" w:rsidRDefault="00563C81">
      <w:pPr>
        <w:pStyle w:val="Tabladeilustraciones"/>
        <w:tabs>
          <w:tab w:val="right" w:leader="dot" w:pos="8828"/>
        </w:tabs>
        <w:rPr>
          <w:rFonts w:asciiTheme="minorHAnsi" w:eastAsiaTheme="minorEastAsia" w:hAnsiTheme="minorHAnsi"/>
          <w:noProof/>
          <w:lang w:eastAsia="es-CO"/>
        </w:rPr>
      </w:pPr>
      <w:hyperlink w:anchor="_Toc86333039" w:history="1">
        <w:r w:rsidR="00AB1C80" w:rsidRPr="00BB1987">
          <w:rPr>
            <w:rStyle w:val="Hipervnculo"/>
            <w:rFonts w:cs="Arial"/>
            <w:noProof/>
          </w:rPr>
          <w:t>Tabla 34. Aspectos importantes de las mesas de trabajo con Actores Mineros.</w:t>
        </w:r>
        <w:r w:rsidR="00AB1C80">
          <w:rPr>
            <w:noProof/>
            <w:webHidden/>
          </w:rPr>
          <w:tab/>
        </w:r>
        <w:r w:rsidR="00AB1C80">
          <w:rPr>
            <w:noProof/>
            <w:webHidden/>
          </w:rPr>
          <w:fldChar w:fldCharType="begin"/>
        </w:r>
        <w:r w:rsidR="00AB1C80">
          <w:rPr>
            <w:noProof/>
            <w:webHidden/>
          </w:rPr>
          <w:instrText xml:space="preserve"> PAGEREF _Toc86333039 \h </w:instrText>
        </w:r>
        <w:r w:rsidR="00AB1C80">
          <w:rPr>
            <w:noProof/>
            <w:webHidden/>
          </w:rPr>
        </w:r>
        <w:r w:rsidR="00AB1C80">
          <w:rPr>
            <w:noProof/>
            <w:webHidden/>
          </w:rPr>
          <w:fldChar w:fldCharType="separate"/>
        </w:r>
        <w:r w:rsidR="006A4287">
          <w:rPr>
            <w:noProof/>
            <w:webHidden/>
          </w:rPr>
          <w:t>167</w:t>
        </w:r>
        <w:r w:rsidR="00AB1C80">
          <w:rPr>
            <w:noProof/>
            <w:webHidden/>
          </w:rPr>
          <w:fldChar w:fldCharType="end"/>
        </w:r>
      </w:hyperlink>
    </w:p>
    <w:p w14:paraId="559A8D59" w14:textId="345FA193"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Cs w:val="24"/>
        </w:rPr>
        <w:fldChar w:fldCharType="end"/>
      </w:r>
    </w:p>
    <w:p w14:paraId="252D6846" w14:textId="77777777" w:rsidR="00146084" w:rsidRPr="00AB1C80" w:rsidRDefault="00146084" w:rsidP="00AB1C80">
      <w:pPr>
        <w:spacing w:line="276" w:lineRule="auto"/>
        <w:jc w:val="left"/>
        <w:rPr>
          <w:rFonts w:cs="Arial"/>
          <w:b/>
          <w:color w:val="000000" w:themeColor="text1"/>
          <w:szCs w:val="24"/>
        </w:rPr>
      </w:pPr>
      <w:r w:rsidRPr="00AB1C80">
        <w:rPr>
          <w:rFonts w:cs="Arial"/>
          <w:b/>
          <w:color w:val="000000" w:themeColor="text1"/>
          <w:szCs w:val="24"/>
        </w:rPr>
        <w:br w:type="page"/>
      </w:r>
    </w:p>
    <w:p w14:paraId="5A061035" w14:textId="77777777"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Cs w:val="24"/>
        </w:rPr>
        <w:lastRenderedPageBreak/>
        <w:t>LISTA DE FIGURAS</w:t>
      </w:r>
    </w:p>
    <w:p w14:paraId="35A8A5BC" w14:textId="77777777" w:rsidR="00146084" w:rsidRPr="00AB1C80" w:rsidRDefault="00146084" w:rsidP="00AB1C80">
      <w:pPr>
        <w:spacing w:line="276" w:lineRule="auto"/>
        <w:jc w:val="center"/>
        <w:rPr>
          <w:rFonts w:cs="Arial"/>
          <w:b/>
          <w:color w:val="000000" w:themeColor="text1"/>
          <w:szCs w:val="24"/>
        </w:rPr>
      </w:pPr>
    </w:p>
    <w:p w14:paraId="3D2FB4A5" w14:textId="63C562F0" w:rsidR="00AB1C80" w:rsidRDefault="00146084">
      <w:pPr>
        <w:pStyle w:val="Tabladeilustraciones"/>
        <w:tabs>
          <w:tab w:val="right" w:leader="dot" w:pos="8828"/>
        </w:tabs>
        <w:rPr>
          <w:rFonts w:asciiTheme="minorHAnsi" w:eastAsiaTheme="minorEastAsia" w:hAnsiTheme="minorHAnsi"/>
          <w:noProof/>
          <w:lang w:eastAsia="es-CO"/>
        </w:rPr>
      </w:pPr>
      <w:r w:rsidRPr="00AB1C80">
        <w:rPr>
          <w:rFonts w:cs="Arial"/>
          <w:b/>
          <w:color w:val="000000" w:themeColor="text1"/>
          <w:szCs w:val="24"/>
        </w:rPr>
        <w:fldChar w:fldCharType="begin"/>
      </w:r>
      <w:r w:rsidRPr="00AB1C80">
        <w:rPr>
          <w:rFonts w:cs="Arial"/>
          <w:b/>
          <w:color w:val="000000" w:themeColor="text1"/>
          <w:szCs w:val="24"/>
        </w:rPr>
        <w:instrText xml:space="preserve"> TOC \h \z \c "Figura" </w:instrText>
      </w:r>
      <w:r w:rsidRPr="00AB1C80">
        <w:rPr>
          <w:rFonts w:cs="Arial"/>
          <w:b/>
          <w:color w:val="000000" w:themeColor="text1"/>
          <w:szCs w:val="24"/>
        </w:rPr>
        <w:fldChar w:fldCharType="separate"/>
      </w:r>
      <w:hyperlink w:anchor="_Toc86332998" w:history="1">
        <w:r w:rsidR="00AB1C80" w:rsidRPr="00C64F4D">
          <w:rPr>
            <w:rStyle w:val="Hipervnculo"/>
            <w:rFonts w:cs="Arial"/>
            <w:noProof/>
          </w:rPr>
          <w:t>Figura 1. Origen de la documentación técnica y normativa analizada.</w:t>
        </w:r>
        <w:r w:rsidR="00AB1C80">
          <w:rPr>
            <w:noProof/>
            <w:webHidden/>
          </w:rPr>
          <w:tab/>
        </w:r>
        <w:r w:rsidR="00AB1C80">
          <w:rPr>
            <w:noProof/>
            <w:webHidden/>
          </w:rPr>
          <w:fldChar w:fldCharType="begin"/>
        </w:r>
        <w:r w:rsidR="00AB1C80">
          <w:rPr>
            <w:noProof/>
            <w:webHidden/>
          </w:rPr>
          <w:instrText xml:space="preserve"> PAGEREF _Toc86332998 \h </w:instrText>
        </w:r>
        <w:r w:rsidR="00AB1C80">
          <w:rPr>
            <w:noProof/>
            <w:webHidden/>
          </w:rPr>
        </w:r>
        <w:r w:rsidR="00AB1C80">
          <w:rPr>
            <w:noProof/>
            <w:webHidden/>
          </w:rPr>
          <w:fldChar w:fldCharType="separate"/>
        </w:r>
        <w:r w:rsidR="006A4287">
          <w:rPr>
            <w:noProof/>
            <w:webHidden/>
          </w:rPr>
          <w:t>13</w:t>
        </w:r>
        <w:r w:rsidR="00AB1C80">
          <w:rPr>
            <w:noProof/>
            <w:webHidden/>
          </w:rPr>
          <w:fldChar w:fldCharType="end"/>
        </w:r>
      </w:hyperlink>
    </w:p>
    <w:p w14:paraId="6A31ED4A" w14:textId="0EA6AA3D" w:rsidR="00AB1C80" w:rsidRDefault="00563C81">
      <w:pPr>
        <w:pStyle w:val="Tabladeilustraciones"/>
        <w:tabs>
          <w:tab w:val="right" w:leader="dot" w:pos="8828"/>
        </w:tabs>
        <w:rPr>
          <w:rFonts w:asciiTheme="minorHAnsi" w:eastAsiaTheme="minorEastAsia" w:hAnsiTheme="minorHAnsi"/>
          <w:noProof/>
          <w:lang w:eastAsia="es-CO"/>
        </w:rPr>
      </w:pPr>
      <w:hyperlink w:anchor="_Toc86332999" w:history="1">
        <w:r w:rsidR="00AB1C80" w:rsidRPr="00C64F4D">
          <w:rPr>
            <w:rStyle w:val="Hipervnculo"/>
            <w:rFonts w:cs="Arial"/>
            <w:noProof/>
          </w:rPr>
          <w:t>Figura 2. Formato de recolección de información para gestión y manejo de estériles mineros.</w:t>
        </w:r>
        <w:r w:rsidR="00AB1C80">
          <w:rPr>
            <w:noProof/>
            <w:webHidden/>
          </w:rPr>
          <w:tab/>
        </w:r>
        <w:r w:rsidR="00AB1C80">
          <w:rPr>
            <w:noProof/>
            <w:webHidden/>
          </w:rPr>
          <w:fldChar w:fldCharType="begin"/>
        </w:r>
        <w:r w:rsidR="00AB1C80">
          <w:rPr>
            <w:noProof/>
            <w:webHidden/>
          </w:rPr>
          <w:instrText xml:space="preserve"> PAGEREF _Toc86332999 \h </w:instrText>
        </w:r>
        <w:r w:rsidR="00AB1C80">
          <w:rPr>
            <w:noProof/>
            <w:webHidden/>
          </w:rPr>
        </w:r>
        <w:r w:rsidR="00AB1C80">
          <w:rPr>
            <w:noProof/>
            <w:webHidden/>
          </w:rPr>
          <w:fldChar w:fldCharType="separate"/>
        </w:r>
        <w:r w:rsidR="006A4287">
          <w:rPr>
            <w:noProof/>
            <w:webHidden/>
          </w:rPr>
          <w:t>14</w:t>
        </w:r>
        <w:r w:rsidR="00AB1C80">
          <w:rPr>
            <w:noProof/>
            <w:webHidden/>
          </w:rPr>
          <w:fldChar w:fldCharType="end"/>
        </w:r>
      </w:hyperlink>
    </w:p>
    <w:p w14:paraId="18691770" w14:textId="290E311A" w:rsidR="00AB1C80" w:rsidRDefault="00563C81">
      <w:pPr>
        <w:pStyle w:val="Tabladeilustraciones"/>
        <w:tabs>
          <w:tab w:val="right" w:leader="dot" w:pos="8828"/>
        </w:tabs>
        <w:rPr>
          <w:rFonts w:asciiTheme="minorHAnsi" w:eastAsiaTheme="minorEastAsia" w:hAnsiTheme="minorHAnsi"/>
          <w:noProof/>
          <w:lang w:eastAsia="es-CO"/>
        </w:rPr>
      </w:pPr>
      <w:hyperlink w:anchor="_Toc86333000" w:history="1">
        <w:r w:rsidR="00AB1C80" w:rsidRPr="00C64F4D">
          <w:rPr>
            <w:rStyle w:val="Hipervnculo"/>
            <w:rFonts w:cs="Arial"/>
            <w:noProof/>
          </w:rPr>
          <w:t>Figura 3. Formato de recolección de información para economía circular.</w:t>
        </w:r>
        <w:r w:rsidR="00AB1C80">
          <w:rPr>
            <w:noProof/>
            <w:webHidden/>
          </w:rPr>
          <w:tab/>
        </w:r>
        <w:r w:rsidR="00AB1C80">
          <w:rPr>
            <w:noProof/>
            <w:webHidden/>
          </w:rPr>
          <w:fldChar w:fldCharType="begin"/>
        </w:r>
        <w:r w:rsidR="00AB1C80">
          <w:rPr>
            <w:noProof/>
            <w:webHidden/>
          </w:rPr>
          <w:instrText xml:space="preserve"> PAGEREF _Toc86333000 \h </w:instrText>
        </w:r>
        <w:r w:rsidR="00AB1C80">
          <w:rPr>
            <w:noProof/>
            <w:webHidden/>
          </w:rPr>
        </w:r>
        <w:r w:rsidR="00AB1C80">
          <w:rPr>
            <w:noProof/>
            <w:webHidden/>
          </w:rPr>
          <w:fldChar w:fldCharType="separate"/>
        </w:r>
        <w:r w:rsidR="006A4287">
          <w:rPr>
            <w:noProof/>
            <w:webHidden/>
          </w:rPr>
          <w:t>15</w:t>
        </w:r>
        <w:r w:rsidR="00AB1C80">
          <w:rPr>
            <w:noProof/>
            <w:webHidden/>
          </w:rPr>
          <w:fldChar w:fldCharType="end"/>
        </w:r>
      </w:hyperlink>
    </w:p>
    <w:p w14:paraId="12B4D837" w14:textId="6C639F62" w:rsidR="00AB1C80" w:rsidRDefault="00563C81">
      <w:pPr>
        <w:pStyle w:val="Tabladeilustraciones"/>
        <w:tabs>
          <w:tab w:val="right" w:leader="dot" w:pos="8828"/>
        </w:tabs>
        <w:rPr>
          <w:rFonts w:asciiTheme="minorHAnsi" w:eastAsiaTheme="minorEastAsia" w:hAnsiTheme="minorHAnsi"/>
          <w:noProof/>
          <w:lang w:eastAsia="es-CO"/>
        </w:rPr>
      </w:pPr>
      <w:hyperlink w:anchor="_Toc86333001" w:history="1">
        <w:r w:rsidR="00AB1C80" w:rsidRPr="00C64F4D">
          <w:rPr>
            <w:rStyle w:val="Hipervnculo"/>
            <w:rFonts w:cs="Arial"/>
            <w:noProof/>
          </w:rPr>
          <w:t>Figura 4. Presentación elaborada para la socialización con empresas y actores mineros.</w:t>
        </w:r>
        <w:r w:rsidR="00AB1C80">
          <w:rPr>
            <w:noProof/>
            <w:webHidden/>
          </w:rPr>
          <w:tab/>
        </w:r>
        <w:r w:rsidR="00AB1C80">
          <w:rPr>
            <w:noProof/>
            <w:webHidden/>
          </w:rPr>
          <w:fldChar w:fldCharType="begin"/>
        </w:r>
        <w:r w:rsidR="00AB1C80">
          <w:rPr>
            <w:noProof/>
            <w:webHidden/>
          </w:rPr>
          <w:instrText xml:space="preserve"> PAGEREF _Toc86333001 \h </w:instrText>
        </w:r>
        <w:r w:rsidR="00AB1C80">
          <w:rPr>
            <w:noProof/>
            <w:webHidden/>
          </w:rPr>
        </w:r>
        <w:r w:rsidR="00AB1C80">
          <w:rPr>
            <w:noProof/>
            <w:webHidden/>
          </w:rPr>
          <w:fldChar w:fldCharType="separate"/>
        </w:r>
        <w:r w:rsidR="006A4287">
          <w:rPr>
            <w:noProof/>
            <w:webHidden/>
          </w:rPr>
          <w:t>17</w:t>
        </w:r>
        <w:r w:rsidR="00AB1C80">
          <w:rPr>
            <w:noProof/>
            <w:webHidden/>
          </w:rPr>
          <w:fldChar w:fldCharType="end"/>
        </w:r>
      </w:hyperlink>
    </w:p>
    <w:p w14:paraId="3ED7761F" w14:textId="5B134273" w:rsidR="00AB1C80" w:rsidRDefault="00563C81">
      <w:pPr>
        <w:pStyle w:val="Tabladeilustraciones"/>
        <w:tabs>
          <w:tab w:val="right" w:leader="dot" w:pos="8828"/>
        </w:tabs>
        <w:rPr>
          <w:rFonts w:asciiTheme="minorHAnsi" w:eastAsiaTheme="minorEastAsia" w:hAnsiTheme="minorHAnsi"/>
          <w:noProof/>
          <w:lang w:eastAsia="es-CO"/>
        </w:rPr>
      </w:pPr>
      <w:hyperlink w:anchor="_Toc86333002" w:history="1">
        <w:r w:rsidR="00AB1C80" w:rsidRPr="00C64F4D">
          <w:rPr>
            <w:rStyle w:val="Hipervnculo"/>
            <w:rFonts w:cs="Arial"/>
            <w:noProof/>
          </w:rPr>
          <w:t>Figura 5. Información analizada a nivel global sobre gestión y manejo de estériles.</w:t>
        </w:r>
        <w:r w:rsidR="00AB1C80">
          <w:rPr>
            <w:noProof/>
            <w:webHidden/>
          </w:rPr>
          <w:tab/>
        </w:r>
        <w:r w:rsidR="00AB1C80">
          <w:rPr>
            <w:noProof/>
            <w:webHidden/>
          </w:rPr>
          <w:fldChar w:fldCharType="begin"/>
        </w:r>
        <w:r w:rsidR="00AB1C80">
          <w:rPr>
            <w:noProof/>
            <w:webHidden/>
          </w:rPr>
          <w:instrText xml:space="preserve"> PAGEREF _Toc86333002 \h </w:instrText>
        </w:r>
        <w:r w:rsidR="00AB1C80">
          <w:rPr>
            <w:noProof/>
            <w:webHidden/>
          </w:rPr>
        </w:r>
        <w:r w:rsidR="00AB1C80">
          <w:rPr>
            <w:noProof/>
            <w:webHidden/>
          </w:rPr>
          <w:fldChar w:fldCharType="separate"/>
        </w:r>
        <w:r w:rsidR="006A4287">
          <w:rPr>
            <w:noProof/>
            <w:webHidden/>
          </w:rPr>
          <w:t>30</w:t>
        </w:r>
        <w:r w:rsidR="00AB1C80">
          <w:rPr>
            <w:noProof/>
            <w:webHidden/>
          </w:rPr>
          <w:fldChar w:fldCharType="end"/>
        </w:r>
      </w:hyperlink>
    </w:p>
    <w:p w14:paraId="6ADB4951" w14:textId="755634BE" w:rsidR="00AB1C80" w:rsidRDefault="00563C81">
      <w:pPr>
        <w:pStyle w:val="Tabladeilustraciones"/>
        <w:tabs>
          <w:tab w:val="right" w:leader="dot" w:pos="8828"/>
        </w:tabs>
        <w:rPr>
          <w:rFonts w:asciiTheme="minorHAnsi" w:eastAsiaTheme="minorEastAsia" w:hAnsiTheme="minorHAnsi"/>
          <w:noProof/>
          <w:lang w:eastAsia="es-CO"/>
        </w:rPr>
      </w:pPr>
      <w:hyperlink w:anchor="_Toc86333003" w:history="1">
        <w:r w:rsidR="00AB1C80" w:rsidRPr="00C64F4D">
          <w:rPr>
            <w:rStyle w:val="Hipervnculo"/>
            <w:rFonts w:cs="Arial"/>
            <w:noProof/>
          </w:rPr>
          <w:t>Figura 6. Línea de tiempo marco legal nacional relacionado a la gestión y manejo del material estéril en la actividad minera.</w:t>
        </w:r>
        <w:r w:rsidR="00AB1C80">
          <w:rPr>
            <w:noProof/>
            <w:webHidden/>
          </w:rPr>
          <w:tab/>
        </w:r>
        <w:r w:rsidR="00AB1C80">
          <w:rPr>
            <w:noProof/>
            <w:webHidden/>
          </w:rPr>
          <w:fldChar w:fldCharType="begin"/>
        </w:r>
        <w:r w:rsidR="00AB1C80">
          <w:rPr>
            <w:noProof/>
            <w:webHidden/>
          </w:rPr>
          <w:instrText xml:space="preserve"> PAGEREF _Toc86333003 \h </w:instrText>
        </w:r>
        <w:r w:rsidR="00AB1C80">
          <w:rPr>
            <w:noProof/>
            <w:webHidden/>
          </w:rPr>
        </w:r>
        <w:r w:rsidR="00AB1C80">
          <w:rPr>
            <w:noProof/>
            <w:webHidden/>
          </w:rPr>
          <w:fldChar w:fldCharType="separate"/>
        </w:r>
        <w:r w:rsidR="006A4287">
          <w:rPr>
            <w:noProof/>
            <w:webHidden/>
          </w:rPr>
          <w:t>46</w:t>
        </w:r>
        <w:r w:rsidR="00AB1C80">
          <w:rPr>
            <w:noProof/>
            <w:webHidden/>
          </w:rPr>
          <w:fldChar w:fldCharType="end"/>
        </w:r>
      </w:hyperlink>
    </w:p>
    <w:p w14:paraId="7998A242" w14:textId="7589666B" w:rsidR="00AB1C80" w:rsidRDefault="00563C81">
      <w:pPr>
        <w:pStyle w:val="Tabladeilustraciones"/>
        <w:tabs>
          <w:tab w:val="right" w:leader="dot" w:pos="8828"/>
        </w:tabs>
        <w:rPr>
          <w:rFonts w:asciiTheme="minorHAnsi" w:eastAsiaTheme="minorEastAsia" w:hAnsiTheme="minorHAnsi"/>
          <w:noProof/>
          <w:lang w:eastAsia="es-CO"/>
        </w:rPr>
      </w:pPr>
      <w:hyperlink w:anchor="_Toc86333004" w:history="1">
        <w:r w:rsidR="00AB1C80" w:rsidRPr="00C64F4D">
          <w:rPr>
            <w:rStyle w:val="Hipervnculo"/>
            <w:rFonts w:cs="Arial"/>
            <w:noProof/>
          </w:rPr>
          <w:t>Figura 7. Información analizada a nivel global sobre economía circular.</w:t>
        </w:r>
        <w:r w:rsidR="00AB1C80">
          <w:rPr>
            <w:noProof/>
            <w:webHidden/>
          </w:rPr>
          <w:tab/>
        </w:r>
        <w:r w:rsidR="00AB1C80">
          <w:rPr>
            <w:noProof/>
            <w:webHidden/>
          </w:rPr>
          <w:fldChar w:fldCharType="begin"/>
        </w:r>
        <w:r w:rsidR="00AB1C80">
          <w:rPr>
            <w:noProof/>
            <w:webHidden/>
          </w:rPr>
          <w:instrText xml:space="preserve"> PAGEREF _Toc86333004 \h </w:instrText>
        </w:r>
        <w:r w:rsidR="00AB1C80">
          <w:rPr>
            <w:noProof/>
            <w:webHidden/>
          </w:rPr>
        </w:r>
        <w:r w:rsidR="00AB1C80">
          <w:rPr>
            <w:noProof/>
            <w:webHidden/>
          </w:rPr>
          <w:fldChar w:fldCharType="separate"/>
        </w:r>
        <w:r w:rsidR="006A4287">
          <w:rPr>
            <w:noProof/>
            <w:webHidden/>
          </w:rPr>
          <w:t>74</w:t>
        </w:r>
        <w:r w:rsidR="00AB1C80">
          <w:rPr>
            <w:noProof/>
            <w:webHidden/>
          </w:rPr>
          <w:fldChar w:fldCharType="end"/>
        </w:r>
      </w:hyperlink>
    </w:p>
    <w:p w14:paraId="6F95A54D" w14:textId="40372DAE" w:rsidR="00AB1C80" w:rsidRDefault="00563C81">
      <w:pPr>
        <w:pStyle w:val="Tabladeilustraciones"/>
        <w:tabs>
          <w:tab w:val="right" w:leader="dot" w:pos="8828"/>
        </w:tabs>
        <w:rPr>
          <w:rFonts w:asciiTheme="minorHAnsi" w:eastAsiaTheme="minorEastAsia" w:hAnsiTheme="minorHAnsi"/>
          <w:noProof/>
          <w:lang w:eastAsia="es-CO"/>
        </w:rPr>
      </w:pPr>
      <w:hyperlink w:anchor="_Toc86333005" w:history="1">
        <w:r w:rsidR="00AB1C80" w:rsidRPr="00C64F4D">
          <w:rPr>
            <w:rStyle w:val="Hipervnculo"/>
            <w:rFonts w:cs="Arial"/>
            <w:noProof/>
          </w:rPr>
          <w:t>Figura 8</w:t>
        </w:r>
        <w:r w:rsidR="00AB1C80" w:rsidRPr="00C64F4D">
          <w:rPr>
            <w:rStyle w:val="Hipervnculo"/>
            <w:rFonts w:cs="Arial"/>
            <w:bCs/>
            <w:noProof/>
          </w:rPr>
          <w:t>.</w:t>
        </w:r>
        <w:r w:rsidR="00AB1C80" w:rsidRPr="00C64F4D">
          <w:rPr>
            <w:rStyle w:val="Hipervnculo"/>
            <w:rFonts w:cs="Arial"/>
            <w:noProof/>
          </w:rPr>
          <w:t xml:space="preserve"> Línea de tiempo marco legal nacional relacionado con la economía circular en la actividad minera.</w:t>
        </w:r>
        <w:r w:rsidR="00AB1C80">
          <w:rPr>
            <w:noProof/>
            <w:webHidden/>
          </w:rPr>
          <w:tab/>
        </w:r>
        <w:r w:rsidR="00AB1C80">
          <w:rPr>
            <w:noProof/>
            <w:webHidden/>
          </w:rPr>
          <w:fldChar w:fldCharType="begin"/>
        </w:r>
        <w:r w:rsidR="00AB1C80">
          <w:rPr>
            <w:noProof/>
            <w:webHidden/>
          </w:rPr>
          <w:instrText xml:space="preserve"> PAGEREF _Toc86333005 \h </w:instrText>
        </w:r>
        <w:r w:rsidR="00AB1C80">
          <w:rPr>
            <w:noProof/>
            <w:webHidden/>
          </w:rPr>
        </w:r>
        <w:r w:rsidR="00AB1C80">
          <w:rPr>
            <w:noProof/>
            <w:webHidden/>
          </w:rPr>
          <w:fldChar w:fldCharType="separate"/>
        </w:r>
        <w:r w:rsidR="006A4287">
          <w:rPr>
            <w:noProof/>
            <w:webHidden/>
          </w:rPr>
          <w:t>105</w:t>
        </w:r>
        <w:r w:rsidR="00AB1C80">
          <w:rPr>
            <w:noProof/>
            <w:webHidden/>
          </w:rPr>
          <w:fldChar w:fldCharType="end"/>
        </w:r>
      </w:hyperlink>
    </w:p>
    <w:p w14:paraId="07E22F9F" w14:textId="5AF36765" w:rsidR="00146084" w:rsidRPr="00AB1C80" w:rsidRDefault="00146084" w:rsidP="00AB1C80">
      <w:pPr>
        <w:spacing w:line="276" w:lineRule="auto"/>
        <w:jc w:val="center"/>
        <w:rPr>
          <w:rFonts w:cs="Arial"/>
          <w:b/>
          <w:color w:val="000000" w:themeColor="text1"/>
          <w:szCs w:val="24"/>
        </w:rPr>
      </w:pPr>
      <w:r w:rsidRPr="00AB1C80">
        <w:rPr>
          <w:rFonts w:cs="Arial"/>
          <w:b/>
          <w:color w:val="000000" w:themeColor="text1"/>
          <w:szCs w:val="24"/>
        </w:rPr>
        <w:fldChar w:fldCharType="end"/>
      </w:r>
    </w:p>
    <w:p w14:paraId="0B49A614" w14:textId="3A5D1C47" w:rsidR="00F77FA4" w:rsidRPr="00AB1C80" w:rsidRDefault="00146084" w:rsidP="00AB1C80">
      <w:pPr>
        <w:spacing w:line="276" w:lineRule="auto"/>
        <w:jc w:val="left"/>
        <w:rPr>
          <w:rFonts w:cs="Arial"/>
          <w:b/>
          <w:color w:val="000000" w:themeColor="text1"/>
          <w:szCs w:val="24"/>
        </w:rPr>
      </w:pPr>
      <w:r w:rsidRPr="00AB1C80">
        <w:rPr>
          <w:rFonts w:cs="Arial"/>
          <w:b/>
          <w:color w:val="000000" w:themeColor="text1"/>
          <w:szCs w:val="24"/>
        </w:rPr>
        <w:br w:type="page"/>
      </w:r>
    </w:p>
    <w:p w14:paraId="1988B1DA" w14:textId="1588B5D0" w:rsidR="00F77FA4" w:rsidRPr="00AB1C80" w:rsidRDefault="00F77FA4" w:rsidP="00AB1C80">
      <w:pPr>
        <w:spacing w:line="276" w:lineRule="auto"/>
        <w:jc w:val="center"/>
        <w:rPr>
          <w:rFonts w:cs="Arial"/>
          <w:b/>
          <w:color w:val="000000" w:themeColor="text1"/>
          <w:szCs w:val="24"/>
        </w:rPr>
      </w:pPr>
      <w:r w:rsidRPr="00AB1C80">
        <w:rPr>
          <w:rFonts w:cs="Arial"/>
          <w:b/>
          <w:color w:val="000000" w:themeColor="text1"/>
          <w:szCs w:val="24"/>
        </w:rPr>
        <w:lastRenderedPageBreak/>
        <w:t xml:space="preserve">LISTA DE </w:t>
      </w:r>
      <w:r w:rsidR="005D3807" w:rsidRPr="00AB1C80">
        <w:rPr>
          <w:rFonts w:cs="Arial"/>
          <w:b/>
          <w:color w:val="000000" w:themeColor="text1"/>
          <w:szCs w:val="24"/>
        </w:rPr>
        <w:t>ANEXOS</w:t>
      </w:r>
    </w:p>
    <w:p w14:paraId="135E0F5E" w14:textId="77777777" w:rsidR="002F5E86" w:rsidRPr="00AB1C80" w:rsidRDefault="002F5E86" w:rsidP="00AB1C80">
      <w:pPr>
        <w:spacing w:line="276" w:lineRule="auto"/>
        <w:rPr>
          <w:rFonts w:cs="Arial"/>
          <w:b/>
        </w:rPr>
      </w:pPr>
    </w:p>
    <w:p w14:paraId="127FA92B" w14:textId="79FDA98A" w:rsidR="002F5E86" w:rsidRPr="00AB1C80" w:rsidRDefault="002F5E86" w:rsidP="00AB1C80">
      <w:pPr>
        <w:spacing w:line="276" w:lineRule="auto"/>
        <w:rPr>
          <w:rFonts w:cs="Arial"/>
          <w:b/>
        </w:rPr>
      </w:pPr>
      <w:r w:rsidRPr="00AB1C80">
        <w:rPr>
          <w:rFonts w:cs="Arial"/>
          <w:b/>
        </w:rPr>
        <w:t>Anexo 1. Relación Información Secundaria</w:t>
      </w:r>
    </w:p>
    <w:p w14:paraId="4689A3A6" w14:textId="5F3EAB49" w:rsidR="002F5E86" w:rsidRPr="00AB1C80" w:rsidRDefault="002F5E86" w:rsidP="00AB1C80">
      <w:pPr>
        <w:spacing w:line="276" w:lineRule="auto"/>
        <w:ind w:firstLine="284"/>
        <w:rPr>
          <w:rFonts w:cs="Arial"/>
          <w:color w:val="000000" w:themeColor="text1"/>
          <w:szCs w:val="24"/>
        </w:rPr>
      </w:pPr>
      <w:r w:rsidRPr="00AB1C80">
        <w:rPr>
          <w:rFonts w:cs="Arial"/>
        </w:rPr>
        <w:t xml:space="preserve">Anexo 1a. </w:t>
      </w:r>
      <w:r w:rsidRPr="00AB1C80">
        <w:rPr>
          <w:rFonts w:cs="Arial"/>
          <w:color w:val="000000" w:themeColor="text1"/>
          <w:szCs w:val="24"/>
        </w:rPr>
        <w:t xml:space="preserve">Gestión y </w:t>
      </w:r>
      <w:r w:rsidR="00B54246" w:rsidRPr="00AB1C80">
        <w:rPr>
          <w:rFonts w:cs="Arial"/>
          <w:color w:val="000000" w:themeColor="text1"/>
          <w:szCs w:val="24"/>
        </w:rPr>
        <w:t>M</w:t>
      </w:r>
      <w:r w:rsidRPr="00AB1C80">
        <w:rPr>
          <w:rFonts w:cs="Arial"/>
          <w:color w:val="000000" w:themeColor="text1"/>
          <w:szCs w:val="24"/>
        </w:rPr>
        <w:t xml:space="preserve">anejo de </w:t>
      </w:r>
      <w:r w:rsidR="00B54246" w:rsidRPr="00AB1C80">
        <w:rPr>
          <w:rFonts w:cs="Arial"/>
          <w:color w:val="000000" w:themeColor="text1"/>
          <w:szCs w:val="24"/>
        </w:rPr>
        <w:t>E</w:t>
      </w:r>
      <w:r w:rsidRPr="00AB1C80">
        <w:rPr>
          <w:rFonts w:cs="Arial"/>
          <w:color w:val="000000" w:themeColor="text1"/>
          <w:szCs w:val="24"/>
        </w:rPr>
        <w:t>stériles</w:t>
      </w:r>
    </w:p>
    <w:p w14:paraId="2C387C38" w14:textId="686DBF43" w:rsidR="002F5E86" w:rsidRPr="00AB1C80" w:rsidRDefault="002F5E86" w:rsidP="00AB1C80">
      <w:pPr>
        <w:pStyle w:val="Prrafodelista"/>
        <w:numPr>
          <w:ilvl w:val="0"/>
          <w:numId w:val="3"/>
        </w:numPr>
        <w:spacing w:line="276" w:lineRule="auto"/>
        <w:rPr>
          <w:rFonts w:cs="Arial"/>
        </w:rPr>
      </w:pPr>
      <w:r w:rsidRPr="00AB1C80">
        <w:rPr>
          <w:rFonts w:cs="Arial"/>
        </w:rPr>
        <w:t>Formato Word de cada documento analizado</w:t>
      </w:r>
      <w:r w:rsidR="00B54246" w:rsidRPr="00AB1C80">
        <w:rPr>
          <w:rFonts w:cs="Arial"/>
        </w:rPr>
        <w:t xml:space="preserve"> (separados por países)</w:t>
      </w:r>
      <w:r w:rsidRPr="00AB1C80">
        <w:rPr>
          <w:rFonts w:cs="Arial"/>
        </w:rPr>
        <w:t>.</w:t>
      </w:r>
    </w:p>
    <w:p w14:paraId="554F5351" w14:textId="203ED70A" w:rsidR="00630005" w:rsidRPr="00AB1C80" w:rsidRDefault="00630005" w:rsidP="00AB1C80">
      <w:pPr>
        <w:pStyle w:val="Prrafodelista"/>
        <w:numPr>
          <w:ilvl w:val="0"/>
          <w:numId w:val="3"/>
        </w:numPr>
        <w:spacing w:line="276" w:lineRule="auto"/>
        <w:rPr>
          <w:rFonts w:cs="Arial"/>
        </w:rPr>
      </w:pPr>
      <w:r w:rsidRPr="00AB1C80">
        <w:rPr>
          <w:rFonts w:cs="Arial"/>
        </w:rPr>
        <w:t xml:space="preserve">Formato Excel de la Relación de Información Secundaria de </w:t>
      </w:r>
      <w:r w:rsidRPr="00AB1C80">
        <w:rPr>
          <w:rFonts w:cs="Arial"/>
          <w:color w:val="000000" w:themeColor="text1"/>
          <w:szCs w:val="24"/>
        </w:rPr>
        <w:t>Gestión y Manejo de Estériles</w:t>
      </w:r>
      <w:r w:rsidRPr="00AB1C80">
        <w:rPr>
          <w:rFonts w:cs="Arial"/>
        </w:rPr>
        <w:t>.</w:t>
      </w:r>
    </w:p>
    <w:p w14:paraId="0E024B3C" w14:textId="4B1A8862" w:rsidR="002F5E86" w:rsidRPr="00AB1C80" w:rsidRDefault="002F5E86" w:rsidP="00AB1C80">
      <w:pPr>
        <w:spacing w:line="276" w:lineRule="auto"/>
        <w:ind w:firstLine="284"/>
        <w:rPr>
          <w:rFonts w:cs="Arial"/>
          <w:color w:val="000000" w:themeColor="text1"/>
          <w:szCs w:val="24"/>
        </w:rPr>
      </w:pPr>
      <w:r w:rsidRPr="00AB1C80">
        <w:rPr>
          <w:rFonts w:cs="Arial"/>
          <w:color w:val="000000" w:themeColor="text1"/>
          <w:szCs w:val="24"/>
        </w:rPr>
        <w:t xml:space="preserve">Anexo 2b. </w:t>
      </w:r>
      <w:r w:rsidR="00B54246" w:rsidRPr="00AB1C80">
        <w:rPr>
          <w:rFonts w:cs="Arial"/>
          <w:color w:val="000000" w:themeColor="text1"/>
          <w:szCs w:val="24"/>
        </w:rPr>
        <w:t>Economía Circular</w:t>
      </w:r>
    </w:p>
    <w:p w14:paraId="5250493F" w14:textId="73FE37D2" w:rsidR="002F5E86" w:rsidRPr="00AB1C80" w:rsidRDefault="002F5E86" w:rsidP="00AB1C80">
      <w:pPr>
        <w:pStyle w:val="Prrafodelista"/>
        <w:numPr>
          <w:ilvl w:val="0"/>
          <w:numId w:val="3"/>
        </w:numPr>
        <w:spacing w:line="276" w:lineRule="auto"/>
        <w:rPr>
          <w:rFonts w:cs="Arial"/>
        </w:rPr>
      </w:pPr>
      <w:r w:rsidRPr="00AB1C80">
        <w:rPr>
          <w:rFonts w:cs="Arial"/>
        </w:rPr>
        <w:t>Formato Word de cada documento analizado</w:t>
      </w:r>
      <w:r w:rsidR="000D3FE9" w:rsidRPr="00AB1C80">
        <w:rPr>
          <w:rFonts w:cs="Arial"/>
        </w:rPr>
        <w:t xml:space="preserve"> (separados por países)</w:t>
      </w:r>
      <w:r w:rsidRPr="00AB1C80">
        <w:rPr>
          <w:rFonts w:cs="Arial"/>
        </w:rPr>
        <w:t>.</w:t>
      </w:r>
    </w:p>
    <w:p w14:paraId="5A25DF8A" w14:textId="57D029C1" w:rsidR="002F5E86" w:rsidRPr="00AB1C80" w:rsidRDefault="00630005" w:rsidP="00AB1C80">
      <w:pPr>
        <w:pStyle w:val="Prrafodelista"/>
        <w:numPr>
          <w:ilvl w:val="0"/>
          <w:numId w:val="3"/>
        </w:numPr>
        <w:spacing w:line="276" w:lineRule="auto"/>
        <w:rPr>
          <w:rFonts w:cs="Arial"/>
          <w:b/>
        </w:rPr>
      </w:pPr>
      <w:r w:rsidRPr="00AB1C80">
        <w:rPr>
          <w:rFonts w:cs="Arial"/>
        </w:rPr>
        <w:t>Formato Excel de la Relación de Información Secundaria de Economía Circular.</w:t>
      </w:r>
    </w:p>
    <w:p w14:paraId="67DEAE8C" w14:textId="77777777" w:rsidR="00630005" w:rsidRPr="00AB1C80" w:rsidRDefault="00630005" w:rsidP="00AB1C80">
      <w:pPr>
        <w:pStyle w:val="Prrafodelista"/>
        <w:spacing w:line="276" w:lineRule="auto"/>
        <w:ind w:left="1079"/>
        <w:rPr>
          <w:rFonts w:cs="Arial"/>
          <w:b/>
        </w:rPr>
      </w:pPr>
    </w:p>
    <w:p w14:paraId="6D16C95B" w14:textId="0BE48DF0" w:rsidR="002F5E86" w:rsidRPr="00AB1C80" w:rsidRDefault="002F5E86" w:rsidP="00AB1C80">
      <w:pPr>
        <w:spacing w:line="276" w:lineRule="auto"/>
        <w:rPr>
          <w:rFonts w:cs="Arial"/>
          <w:b/>
        </w:rPr>
      </w:pPr>
      <w:r w:rsidRPr="00AB1C80">
        <w:rPr>
          <w:rFonts w:cs="Arial"/>
          <w:b/>
        </w:rPr>
        <w:t>Anexo 2. Evidencia Socialización Empresas</w:t>
      </w:r>
    </w:p>
    <w:p w14:paraId="1E378F3D" w14:textId="53205127" w:rsidR="002F5E86" w:rsidRPr="00AB1C80" w:rsidRDefault="002F5E86" w:rsidP="00AB1C80">
      <w:pPr>
        <w:spacing w:line="276" w:lineRule="auto"/>
        <w:ind w:firstLine="284"/>
        <w:rPr>
          <w:rFonts w:cs="Arial"/>
        </w:rPr>
      </w:pPr>
      <w:r w:rsidRPr="00AB1C80">
        <w:rPr>
          <w:rFonts w:cs="Arial"/>
        </w:rPr>
        <w:t xml:space="preserve">Anexo 2a. </w:t>
      </w:r>
      <w:r w:rsidR="000D3FE9" w:rsidRPr="00AB1C80">
        <w:rPr>
          <w:rFonts w:cs="Arial"/>
        </w:rPr>
        <w:t>Sumicol</w:t>
      </w:r>
    </w:p>
    <w:p w14:paraId="547ECF48" w14:textId="300C3E5F" w:rsidR="002F5E86" w:rsidRPr="00AB1C80" w:rsidRDefault="002F5E86" w:rsidP="00AB1C80">
      <w:pPr>
        <w:pStyle w:val="Prrafodelista"/>
        <w:numPr>
          <w:ilvl w:val="0"/>
          <w:numId w:val="3"/>
        </w:numPr>
        <w:spacing w:line="276" w:lineRule="auto"/>
        <w:rPr>
          <w:rFonts w:cs="Arial"/>
        </w:rPr>
      </w:pPr>
      <w:r w:rsidRPr="00AB1C80">
        <w:rPr>
          <w:rFonts w:cs="Arial"/>
        </w:rPr>
        <w:t xml:space="preserve">Correos </w:t>
      </w:r>
      <w:r w:rsidR="000D3FE9" w:rsidRPr="00AB1C80">
        <w:rPr>
          <w:rFonts w:cs="Arial"/>
        </w:rPr>
        <w:t>E</w:t>
      </w:r>
      <w:r w:rsidRPr="00AB1C80">
        <w:rPr>
          <w:rFonts w:cs="Arial"/>
        </w:rPr>
        <w:t xml:space="preserve">nviados (Invitación, </w:t>
      </w:r>
      <w:r w:rsidR="000D3FE9" w:rsidRPr="00AB1C80">
        <w:rPr>
          <w:rFonts w:cs="Arial"/>
        </w:rPr>
        <w:t>Programación Reunión</w:t>
      </w:r>
      <w:r w:rsidRPr="00AB1C80">
        <w:rPr>
          <w:rFonts w:cs="Arial"/>
        </w:rPr>
        <w:t>)</w:t>
      </w:r>
    </w:p>
    <w:p w14:paraId="7DD76307" w14:textId="5312901B"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481C2315" w14:textId="0A2F4623"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1FE2D8DF" w14:textId="60C19754" w:rsidR="002F5E86" w:rsidRPr="00AB1C80" w:rsidRDefault="002F5E86" w:rsidP="00AB1C80">
      <w:pPr>
        <w:pStyle w:val="Prrafodelista"/>
        <w:numPr>
          <w:ilvl w:val="0"/>
          <w:numId w:val="3"/>
        </w:numPr>
        <w:spacing w:line="276" w:lineRule="auto"/>
        <w:rPr>
          <w:rFonts w:cs="Arial"/>
        </w:rPr>
      </w:pPr>
      <w:r w:rsidRPr="00AB1C80">
        <w:rPr>
          <w:rFonts w:cs="Arial"/>
        </w:rPr>
        <w:t>Formato Acta_Word</w:t>
      </w:r>
    </w:p>
    <w:p w14:paraId="5CA6A313" w14:textId="77777777" w:rsidR="002F5E86" w:rsidRPr="00AB1C80" w:rsidRDefault="002F5E86" w:rsidP="00AB1C80">
      <w:pPr>
        <w:pStyle w:val="Prrafodelista"/>
        <w:numPr>
          <w:ilvl w:val="0"/>
          <w:numId w:val="3"/>
        </w:numPr>
        <w:spacing w:line="276" w:lineRule="auto"/>
        <w:rPr>
          <w:rFonts w:cs="Arial"/>
        </w:rPr>
      </w:pPr>
      <w:r w:rsidRPr="00AB1C80">
        <w:rPr>
          <w:rFonts w:cs="Arial"/>
        </w:rPr>
        <w:t>Formato Acta_PDF (Firmada)</w:t>
      </w:r>
    </w:p>
    <w:p w14:paraId="5A1B762E" w14:textId="14D720D1" w:rsidR="002F5E86" w:rsidRPr="00AB1C80" w:rsidRDefault="002F5E86" w:rsidP="00AB1C80">
      <w:pPr>
        <w:spacing w:line="276" w:lineRule="auto"/>
        <w:ind w:firstLine="284"/>
        <w:rPr>
          <w:rFonts w:cs="Arial"/>
        </w:rPr>
      </w:pPr>
      <w:r w:rsidRPr="00AB1C80">
        <w:rPr>
          <w:rFonts w:cs="Arial"/>
        </w:rPr>
        <w:t xml:space="preserve">Anexo 2b. </w:t>
      </w:r>
      <w:r w:rsidR="000D3FE9" w:rsidRPr="00AB1C80">
        <w:rPr>
          <w:rFonts w:cs="Arial"/>
        </w:rPr>
        <w:t>Drummond</w:t>
      </w:r>
    </w:p>
    <w:p w14:paraId="5B8B0D58"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008BCF53"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0E9D5B47"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45C36825"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7BA0B1B8" w14:textId="747F1F01"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5ECECB84" w14:textId="6441E47D" w:rsidR="002F5E86" w:rsidRPr="00AB1C80" w:rsidRDefault="002F5E86" w:rsidP="00AB1C80">
      <w:pPr>
        <w:spacing w:line="276" w:lineRule="auto"/>
        <w:ind w:firstLine="284"/>
        <w:rPr>
          <w:rFonts w:cs="Arial"/>
        </w:rPr>
      </w:pPr>
      <w:r w:rsidRPr="00AB1C80">
        <w:rPr>
          <w:rFonts w:cs="Arial"/>
        </w:rPr>
        <w:t xml:space="preserve">Anexo 2c. </w:t>
      </w:r>
      <w:r w:rsidR="000D3FE9" w:rsidRPr="00AB1C80">
        <w:rPr>
          <w:rFonts w:cs="Arial"/>
        </w:rPr>
        <w:t>Uniminas</w:t>
      </w:r>
    </w:p>
    <w:p w14:paraId="5370E651"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2D40A411"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23E2F692"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551A0313"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6CBF6B44" w14:textId="61F4C70B"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068301BF" w14:textId="49DE2285" w:rsidR="002F5E86" w:rsidRPr="00AB1C80" w:rsidRDefault="002F5E86" w:rsidP="00AB1C80">
      <w:pPr>
        <w:spacing w:line="276" w:lineRule="auto"/>
        <w:ind w:firstLine="284"/>
        <w:rPr>
          <w:rFonts w:cs="Arial"/>
        </w:rPr>
      </w:pPr>
      <w:r w:rsidRPr="00AB1C80">
        <w:rPr>
          <w:rFonts w:cs="Arial"/>
        </w:rPr>
        <w:t xml:space="preserve">Anexo 2d. </w:t>
      </w:r>
      <w:r w:rsidR="000D3FE9" w:rsidRPr="00AB1C80">
        <w:rPr>
          <w:rFonts w:cs="Arial"/>
        </w:rPr>
        <w:t>Cementos Argos</w:t>
      </w:r>
    </w:p>
    <w:p w14:paraId="30D354FE"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36705503"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0E7A2B89"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7FE4D945"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525F2BFD" w14:textId="0970163E"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28275F01" w14:textId="020C1B69" w:rsidR="002F5E86" w:rsidRPr="00AB1C80" w:rsidRDefault="002F5E86" w:rsidP="00AB1C80">
      <w:pPr>
        <w:spacing w:line="276" w:lineRule="auto"/>
        <w:ind w:firstLine="284"/>
        <w:rPr>
          <w:rFonts w:cs="Arial"/>
        </w:rPr>
      </w:pPr>
      <w:r w:rsidRPr="00AB1C80">
        <w:rPr>
          <w:rFonts w:cs="Arial"/>
        </w:rPr>
        <w:t xml:space="preserve">Anexo 2e. </w:t>
      </w:r>
      <w:r w:rsidR="000D3FE9" w:rsidRPr="00AB1C80">
        <w:rPr>
          <w:rFonts w:cs="Arial"/>
        </w:rPr>
        <w:t>Miraflores</w:t>
      </w:r>
    </w:p>
    <w:p w14:paraId="1C2FAF8F"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6C6EC608" w14:textId="77777777" w:rsidR="000D3FE9" w:rsidRPr="00AB1C80" w:rsidRDefault="000D3FE9" w:rsidP="00AB1C80">
      <w:pPr>
        <w:pStyle w:val="Prrafodelista"/>
        <w:numPr>
          <w:ilvl w:val="0"/>
          <w:numId w:val="3"/>
        </w:numPr>
        <w:spacing w:line="276" w:lineRule="auto"/>
        <w:rPr>
          <w:rFonts w:cs="Arial"/>
        </w:rPr>
      </w:pPr>
      <w:r w:rsidRPr="00AB1C80">
        <w:rPr>
          <w:rFonts w:cs="Arial"/>
        </w:rPr>
        <w:lastRenderedPageBreak/>
        <w:t>Video Reunión</w:t>
      </w:r>
    </w:p>
    <w:p w14:paraId="70B00CE0"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2CEAE3D7"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30DE4F6F" w14:textId="4A336953"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5B9A2545" w14:textId="76CC51F2" w:rsidR="002F5E86" w:rsidRPr="00AB1C80" w:rsidRDefault="002F5E86" w:rsidP="00AB1C80">
      <w:pPr>
        <w:spacing w:line="276" w:lineRule="auto"/>
        <w:ind w:firstLine="284"/>
        <w:rPr>
          <w:rFonts w:cs="Arial"/>
        </w:rPr>
      </w:pPr>
      <w:r w:rsidRPr="00AB1C80">
        <w:rPr>
          <w:rFonts w:cs="Arial"/>
        </w:rPr>
        <w:t xml:space="preserve">Anexo 2f. </w:t>
      </w:r>
      <w:r w:rsidR="000D3FE9" w:rsidRPr="00AB1C80">
        <w:rPr>
          <w:rFonts w:cs="Arial"/>
        </w:rPr>
        <w:t>Las Brisas</w:t>
      </w:r>
    </w:p>
    <w:p w14:paraId="42E12F06"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53D5C2C2"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4A9D748D"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158D2A87"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498DF73D" w14:textId="63A546B2"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6652AF1B" w14:textId="06E91265" w:rsidR="002F5E86" w:rsidRPr="00AB1C80" w:rsidRDefault="002F5E86" w:rsidP="00AB1C80">
      <w:pPr>
        <w:spacing w:line="276" w:lineRule="auto"/>
        <w:ind w:firstLine="284"/>
        <w:rPr>
          <w:rFonts w:cs="Arial"/>
        </w:rPr>
      </w:pPr>
      <w:r w:rsidRPr="00AB1C80">
        <w:rPr>
          <w:rFonts w:cs="Arial"/>
        </w:rPr>
        <w:t xml:space="preserve">Anexo 2g. </w:t>
      </w:r>
      <w:r w:rsidR="000D3FE9" w:rsidRPr="00AB1C80">
        <w:rPr>
          <w:rFonts w:cs="Arial"/>
        </w:rPr>
        <w:t>Fundación San Antonio</w:t>
      </w:r>
    </w:p>
    <w:p w14:paraId="54FF45EF"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602AD237"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65CF7380"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628EE870"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4112BA5B" w14:textId="1F7802F5"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068404DC" w14:textId="6F1EE0C8" w:rsidR="002F5E86" w:rsidRPr="00AB1C80" w:rsidRDefault="002F5E86" w:rsidP="00AB1C80">
      <w:pPr>
        <w:spacing w:line="276" w:lineRule="auto"/>
        <w:ind w:firstLine="284"/>
        <w:rPr>
          <w:rFonts w:cs="Arial"/>
          <w:szCs w:val="24"/>
        </w:rPr>
      </w:pPr>
      <w:r w:rsidRPr="00AB1C80">
        <w:rPr>
          <w:rFonts w:cs="Arial"/>
        </w:rPr>
        <w:t xml:space="preserve">Anexo 2h. </w:t>
      </w:r>
      <w:r w:rsidR="000D3FE9" w:rsidRPr="00AB1C80">
        <w:rPr>
          <w:rFonts w:cs="Arial"/>
          <w:szCs w:val="24"/>
        </w:rPr>
        <w:t>Gran Colombia Gold</w:t>
      </w:r>
    </w:p>
    <w:p w14:paraId="1E85343A"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77316A56"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3DC95A35"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70966B8F"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015BA28D" w14:textId="55A931A7"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7C6B063D" w14:textId="04E4FFCF" w:rsidR="000D3FE9" w:rsidRPr="00AB1C80" w:rsidRDefault="000D3FE9" w:rsidP="00AB1C80">
      <w:pPr>
        <w:spacing w:line="276" w:lineRule="auto"/>
        <w:ind w:firstLine="284"/>
        <w:rPr>
          <w:rFonts w:cs="Arial"/>
          <w:szCs w:val="24"/>
        </w:rPr>
      </w:pPr>
      <w:r w:rsidRPr="00AB1C80">
        <w:rPr>
          <w:rFonts w:cs="Arial"/>
        </w:rPr>
        <w:t xml:space="preserve">Anexo 2i. </w:t>
      </w:r>
      <w:r w:rsidRPr="00AB1C80">
        <w:rPr>
          <w:rFonts w:cs="Arial"/>
          <w:szCs w:val="24"/>
        </w:rPr>
        <w:t>Cemex Colombia</w:t>
      </w:r>
    </w:p>
    <w:p w14:paraId="30DB5B94" w14:textId="77777777" w:rsidR="000D3FE9" w:rsidRPr="00AB1C80" w:rsidRDefault="000D3FE9" w:rsidP="00AB1C80">
      <w:pPr>
        <w:pStyle w:val="Prrafodelista"/>
        <w:numPr>
          <w:ilvl w:val="0"/>
          <w:numId w:val="3"/>
        </w:numPr>
        <w:spacing w:line="276" w:lineRule="auto"/>
        <w:rPr>
          <w:rFonts w:cs="Arial"/>
        </w:rPr>
      </w:pPr>
      <w:r w:rsidRPr="00AB1C80">
        <w:rPr>
          <w:rFonts w:cs="Arial"/>
        </w:rPr>
        <w:t>Correos Enviados (Invitación, Programación Reunión)</w:t>
      </w:r>
    </w:p>
    <w:p w14:paraId="6A551BB3" w14:textId="77777777" w:rsidR="000D3FE9" w:rsidRPr="00AB1C80" w:rsidRDefault="000D3FE9" w:rsidP="00AB1C80">
      <w:pPr>
        <w:pStyle w:val="Prrafodelista"/>
        <w:numPr>
          <w:ilvl w:val="0"/>
          <w:numId w:val="3"/>
        </w:numPr>
        <w:spacing w:line="276" w:lineRule="auto"/>
        <w:rPr>
          <w:rFonts w:cs="Arial"/>
        </w:rPr>
      </w:pPr>
      <w:r w:rsidRPr="00AB1C80">
        <w:rPr>
          <w:rFonts w:cs="Arial"/>
        </w:rPr>
        <w:t>Video Reunión</w:t>
      </w:r>
    </w:p>
    <w:p w14:paraId="5E14812F" w14:textId="77777777" w:rsidR="000D3FE9" w:rsidRPr="00AB1C80" w:rsidRDefault="000D3FE9" w:rsidP="00AB1C80">
      <w:pPr>
        <w:pStyle w:val="Prrafodelista"/>
        <w:numPr>
          <w:ilvl w:val="0"/>
          <w:numId w:val="3"/>
        </w:numPr>
        <w:spacing w:line="276" w:lineRule="auto"/>
        <w:rPr>
          <w:rFonts w:cs="Arial"/>
        </w:rPr>
      </w:pPr>
      <w:r w:rsidRPr="00AB1C80">
        <w:rPr>
          <w:rFonts w:cs="Arial"/>
        </w:rPr>
        <w:t>Listado de Asistencia</w:t>
      </w:r>
    </w:p>
    <w:p w14:paraId="3072284F" w14:textId="77777777" w:rsidR="000D3FE9" w:rsidRPr="00AB1C80" w:rsidRDefault="000D3FE9" w:rsidP="00AB1C80">
      <w:pPr>
        <w:pStyle w:val="Prrafodelista"/>
        <w:numPr>
          <w:ilvl w:val="0"/>
          <w:numId w:val="3"/>
        </w:numPr>
        <w:spacing w:line="276" w:lineRule="auto"/>
        <w:rPr>
          <w:rFonts w:cs="Arial"/>
        </w:rPr>
      </w:pPr>
      <w:r w:rsidRPr="00AB1C80">
        <w:rPr>
          <w:rFonts w:cs="Arial"/>
        </w:rPr>
        <w:t>Formato Acta_Word</w:t>
      </w:r>
    </w:p>
    <w:p w14:paraId="3377A7F5" w14:textId="67BF4976" w:rsidR="002F5E86" w:rsidRPr="00AB1C80" w:rsidRDefault="000D3FE9" w:rsidP="00AB1C80">
      <w:pPr>
        <w:pStyle w:val="Prrafodelista"/>
        <w:numPr>
          <w:ilvl w:val="0"/>
          <w:numId w:val="3"/>
        </w:numPr>
        <w:spacing w:line="276" w:lineRule="auto"/>
        <w:rPr>
          <w:rFonts w:cs="Arial"/>
        </w:rPr>
      </w:pPr>
      <w:r w:rsidRPr="00AB1C80">
        <w:rPr>
          <w:rFonts w:cs="Arial"/>
        </w:rPr>
        <w:t>Formato Acta_PDF (Firmada)</w:t>
      </w:r>
    </w:p>
    <w:p w14:paraId="3E3F7C24" w14:textId="77777777" w:rsidR="000D3FE9" w:rsidRPr="00AB1C80" w:rsidRDefault="000D3FE9" w:rsidP="00AB1C80">
      <w:pPr>
        <w:spacing w:line="276" w:lineRule="auto"/>
        <w:ind w:left="1560" w:hanging="1276"/>
        <w:rPr>
          <w:rFonts w:cs="Arial"/>
        </w:rPr>
      </w:pPr>
    </w:p>
    <w:p w14:paraId="10732658" w14:textId="77777777" w:rsidR="002F5E86" w:rsidRPr="00AB1C80" w:rsidRDefault="002F5E86" w:rsidP="00AB1C80">
      <w:pPr>
        <w:spacing w:line="276" w:lineRule="auto"/>
        <w:rPr>
          <w:rFonts w:cs="Arial"/>
          <w:b/>
        </w:rPr>
      </w:pPr>
      <w:r w:rsidRPr="00AB1C80">
        <w:rPr>
          <w:rFonts w:cs="Arial"/>
          <w:b/>
        </w:rPr>
        <w:t>Anexo 3. Evidencia Mesas de Trabajo Virtual</w:t>
      </w:r>
    </w:p>
    <w:p w14:paraId="2C92AFC3" w14:textId="75EEBC4F" w:rsidR="002F5E86" w:rsidRPr="00AB1C80" w:rsidRDefault="002F5E86" w:rsidP="00AB1C80">
      <w:pPr>
        <w:spacing w:line="276" w:lineRule="auto"/>
        <w:ind w:firstLine="284"/>
        <w:jc w:val="left"/>
        <w:rPr>
          <w:rFonts w:cs="Arial"/>
          <w:color w:val="000000" w:themeColor="text1"/>
          <w:szCs w:val="24"/>
        </w:rPr>
      </w:pPr>
      <w:r w:rsidRPr="00AB1C80">
        <w:rPr>
          <w:rFonts w:cs="Arial"/>
          <w:color w:val="000000" w:themeColor="text1"/>
          <w:szCs w:val="24"/>
        </w:rPr>
        <w:t xml:space="preserve">Anexo 3a. </w:t>
      </w:r>
      <w:r w:rsidR="008348A3" w:rsidRPr="00AB1C80">
        <w:rPr>
          <w:rFonts w:cs="Arial"/>
          <w:color w:val="000000" w:themeColor="text1"/>
          <w:szCs w:val="24"/>
        </w:rPr>
        <w:t>DNP</w:t>
      </w:r>
    </w:p>
    <w:p w14:paraId="06B666A5"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1E8C85AF"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0FF157D4" w14:textId="77777777" w:rsidR="00C02B01" w:rsidRPr="00AB1C80" w:rsidRDefault="00C02B01" w:rsidP="00AB1C80">
      <w:pPr>
        <w:pStyle w:val="Prrafodelista"/>
        <w:numPr>
          <w:ilvl w:val="0"/>
          <w:numId w:val="3"/>
        </w:numPr>
        <w:spacing w:line="276" w:lineRule="auto"/>
        <w:rPr>
          <w:rFonts w:cs="Arial"/>
        </w:rPr>
      </w:pPr>
      <w:r w:rsidRPr="00AB1C80">
        <w:rPr>
          <w:rFonts w:cs="Arial"/>
        </w:rPr>
        <w:t>Listado de Asistencia</w:t>
      </w:r>
    </w:p>
    <w:p w14:paraId="38C31DE8"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0BF91231" w14:textId="305F2878"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6D3B88D6" w14:textId="0C8CD953" w:rsidR="002F5E86" w:rsidRPr="00AB1C80" w:rsidRDefault="002F5E86" w:rsidP="00AB1C80">
      <w:pPr>
        <w:spacing w:line="276" w:lineRule="auto"/>
        <w:ind w:firstLine="284"/>
        <w:jc w:val="left"/>
        <w:rPr>
          <w:rFonts w:cs="Arial"/>
        </w:rPr>
      </w:pPr>
      <w:r w:rsidRPr="00AB1C80">
        <w:rPr>
          <w:rFonts w:cs="Arial"/>
        </w:rPr>
        <w:t xml:space="preserve">Anexo 3b. </w:t>
      </w:r>
      <w:r w:rsidR="008348A3" w:rsidRPr="00AB1C80">
        <w:rPr>
          <w:rFonts w:cs="Arial"/>
        </w:rPr>
        <w:t xml:space="preserve">Secretaría de Minas de Antioquía </w:t>
      </w:r>
    </w:p>
    <w:p w14:paraId="1C809940"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0C83DADC"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396FDCA6" w14:textId="77777777" w:rsidR="00C02B01" w:rsidRPr="00AB1C80" w:rsidRDefault="00C02B01" w:rsidP="00AB1C80">
      <w:pPr>
        <w:pStyle w:val="Prrafodelista"/>
        <w:numPr>
          <w:ilvl w:val="0"/>
          <w:numId w:val="3"/>
        </w:numPr>
        <w:spacing w:line="276" w:lineRule="auto"/>
        <w:rPr>
          <w:rFonts w:cs="Arial"/>
        </w:rPr>
      </w:pPr>
      <w:r w:rsidRPr="00AB1C80">
        <w:rPr>
          <w:rFonts w:cs="Arial"/>
        </w:rPr>
        <w:lastRenderedPageBreak/>
        <w:t>Listado de Asistencia</w:t>
      </w:r>
    </w:p>
    <w:p w14:paraId="1370A506"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4A17E944" w14:textId="63778D0D"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125CB28B" w14:textId="18E225CE" w:rsidR="002F5E86" w:rsidRPr="00AB1C80" w:rsidRDefault="002F5E86" w:rsidP="00AB1C80">
      <w:pPr>
        <w:spacing w:line="276" w:lineRule="auto"/>
        <w:ind w:firstLine="284"/>
        <w:jc w:val="left"/>
        <w:rPr>
          <w:rFonts w:cs="Arial"/>
        </w:rPr>
      </w:pPr>
      <w:r w:rsidRPr="00AB1C80">
        <w:rPr>
          <w:rFonts w:cs="Arial"/>
        </w:rPr>
        <w:t xml:space="preserve">Anexo 3c. </w:t>
      </w:r>
      <w:r w:rsidR="008348A3" w:rsidRPr="00AB1C80">
        <w:rPr>
          <w:rFonts w:cs="Arial"/>
        </w:rPr>
        <w:t>SGC</w:t>
      </w:r>
    </w:p>
    <w:p w14:paraId="3433AF48"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3DD83772"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2AD3E589" w14:textId="77777777" w:rsidR="00C02B01" w:rsidRPr="00AB1C80" w:rsidRDefault="00C02B01" w:rsidP="00AB1C80">
      <w:pPr>
        <w:pStyle w:val="Prrafodelista"/>
        <w:numPr>
          <w:ilvl w:val="0"/>
          <w:numId w:val="3"/>
        </w:numPr>
        <w:spacing w:line="276" w:lineRule="auto"/>
        <w:rPr>
          <w:rFonts w:cs="Arial"/>
        </w:rPr>
      </w:pPr>
      <w:r w:rsidRPr="00AB1C80">
        <w:rPr>
          <w:rFonts w:cs="Arial"/>
        </w:rPr>
        <w:t>Listado de Asistencia</w:t>
      </w:r>
    </w:p>
    <w:p w14:paraId="1E19796F"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598900F2" w14:textId="525467CC"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77F622FF" w14:textId="5B38C556" w:rsidR="002F5E86" w:rsidRPr="00AB1C80" w:rsidRDefault="002F5E86" w:rsidP="00AB1C80">
      <w:pPr>
        <w:spacing w:line="276" w:lineRule="auto"/>
        <w:ind w:firstLine="284"/>
        <w:jc w:val="left"/>
        <w:rPr>
          <w:rFonts w:cs="Arial"/>
        </w:rPr>
      </w:pPr>
      <w:r w:rsidRPr="00AB1C80">
        <w:rPr>
          <w:rFonts w:cs="Arial"/>
        </w:rPr>
        <w:t xml:space="preserve">Anexo 3d. </w:t>
      </w:r>
      <w:r w:rsidR="008348A3" w:rsidRPr="00AB1C80">
        <w:rPr>
          <w:rFonts w:cs="Arial"/>
        </w:rPr>
        <w:t>Corantioquía</w:t>
      </w:r>
    </w:p>
    <w:p w14:paraId="39A1B485"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0B971814"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3E836EDD" w14:textId="77777777" w:rsidR="00C02B01" w:rsidRPr="00AB1C80" w:rsidRDefault="00C02B01" w:rsidP="00AB1C80">
      <w:pPr>
        <w:pStyle w:val="Prrafodelista"/>
        <w:numPr>
          <w:ilvl w:val="0"/>
          <w:numId w:val="3"/>
        </w:numPr>
        <w:spacing w:line="276" w:lineRule="auto"/>
        <w:rPr>
          <w:rFonts w:cs="Arial"/>
        </w:rPr>
      </w:pPr>
      <w:r w:rsidRPr="00AB1C80">
        <w:rPr>
          <w:rFonts w:cs="Arial"/>
        </w:rPr>
        <w:t>Listado de Asistencia</w:t>
      </w:r>
    </w:p>
    <w:p w14:paraId="5340E595"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30338835" w14:textId="7BB46209"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43FD2AC7" w14:textId="7E9EE742" w:rsidR="002F5E86" w:rsidRPr="00AB1C80" w:rsidRDefault="002F5E86" w:rsidP="00AB1C80">
      <w:pPr>
        <w:spacing w:line="276" w:lineRule="auto"/>
        <w:ind w:firstLine="284"/>
        <w:jc w:val="left"/>
        <w:rPr>
          <w:rFonts w:cs="Arial"/>
        </w:rPr>
      </w:pPr>
      <w:r w:rsidRPr="00AB1C80">
        <w:rPr>
          <w:rFonts w:cs="Arial"/>
        </w:rPr>
        <w:t xml:space="preserve">Anexo 3e. </w:t>
      </w:r>
      <w:r w:rsidR="008348A3" w:rsidRPr="00AB1C80">
        <w:rPr>
          <w:rFonts w:cs="Arial"/>
        </w:rPr>
        <w:t>Cornare</w:t>
      </w:r>
    </w:p>
    <w:p w14:paraId="7CDF2B2E"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18888EA1"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49D48756" w14:textId="77777777" w:rsidR="00C02B01" w:rsidRPr="00AB1C80" w:rsidRDefault="00C02B01" w:rsidP="00AB1C80">
      <w:pPr>
        <w:pStyle w:val="Prrafodelista"/>
        <w:numPr>
          <w:ilvl w:val="0"/>
          <w:numId w:val="3"/>
        </w:numPr>
        <w:spacing w:line="276" w:lineRule="auto"/>
        <w:rPr>
          <w:rFonts w:cs="Arial"/>
        </w:rPr>
      </w:pPr>
      <w:r w:rsidRPr="00AB1C80">
        <w:rPr>
          <w:rFonts w:cs="Arial"/>
        </w:rPr>
        <w:t>Listado de Asistencia</w:t>
      </w:r>
    </w:p>
    <w:p w14:paraId="7958C7B4"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2E45BF7B" w14:textId="5DF23FF2"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44CF9E56" w14:textId="4F6C0235" w:rsidR="002F5E86" w:rsidRPr="00AB1C80" w:rsidRDefault="002F5E86" w:rsidP="00AB1C80">
      <w:pPr>
        <w:spacing w:line="276" w:lineRule="auto"/>
        <w:ind w:firstLine="284"/>
        <w:jc w:val="left"/>
        <w:rPr>
          <w:rFonts w:cs="Arial"/>
        </w:rPr>
      </w:pPr>
      <w:r w:rsidRPr="00AB1C80">
        <w:rPr>
          <w:rFonts w:cs="Arial"/>
        </w:rPr>
        <w:t xml:space="preserve">Anexo 3f. </w:t>
      </w:r>
      <w:r w:rsidR="008348A3" w:rsidRPr="00AB1C80">
        <w:rPr>
          <w:rFonts w:cs="Arial"/>
        </w:rPr>
        <w:t>Waste2Worth</w:t>
      </w:r>
    </w:p>
    <w:p w14:paraId="660DDADD" w14:textId="77777777" w:rsidR="00C02B01" w:rsidRPr="00AB1C80" w:rsidRDefault="00C02B01" w:rsidP="00AB1C80">
      <w:pPr>
        <w:pStyle w:val="Prrafodelista"/>
        <w:numPr>
          <w:ilvl w:val="0"/>
          <w:numId w:val="3"/>
        </w:numPr>
        <w:spacing w:line="276" w:lineRule="auto"/>
        <w:rPr>
          <w:rFonts w:cs="Arial"/>
        </w:rPr>
      </w:pPr>
      <w:r w:rsidRPr="00AB1C80">
        <w:rPr>
          <w:rFonts w:cs="Arial"/>
        </w:rPr>
        <w:t>Correos Enviados (Invitación, Programación Reunión)</w:t>
      </w:r>
    </w:p>
    <w:p w14:paraId="3C924FE3" w14:textId="77777777" w:rsidR="00C02B01" w:rsidRPr="00AB1C80" w:rsidRDefault="00C02B01" w:rsidP="00AB1C80">
      <w:pPr>
        <w:pStyle w:val="Prrafodelista"/>
        <w:numPr>
          <w:ilvl w:val="0"/>
          <w:numId w:val="3"/>
        </w:numPr>
        <w:spacing w:line="276" w:lineRule="auto"/>
        <w:rPr>
          <w:rFonts w:cs="Arial"/>
        </w:rPr>
      </w:pPr>
      <w:r w:rsidRPr="00AB1C80">
        <w:rPr>
          <w:rFonts w:cs="Arial"/>
        </w:rPr>
        <w:t>Video Reunión</w:t>
      </w:r>
    </w:p>
    <w:p w14:paraId="540F9E1E" w14:textId="77777777" w:rsidR="00C02B01" w:rsidRPr="00AB1C80" w:rsidRDefault="00C02B01" w:rsidP="00AB1C80">
      <w:pPr>
        <w:pStyle w:val="Prrafodelista"/>
        <w:numPr>
          <w:ilvl w:val="0"/>
          <w:numId w:val="3"/>
        </w:numPr>
        <w:spacing w:line="276" w:lineRule="auto"/>
        <w:rPr>
          <w:rFonts w:cs="Arial"/>
        </w:rPr>
      </w:pPr>
      <w:r w:rsidRPr="00AB1C80">
        <w:rPr>
          <w:rFonts w:cs="Arial"/>
        </w:rPr>
        <w:t>Listado de Asistencia</w:t>
      </w:r>
    </w:p>
    <w:p w14:paraId="7631B8E4" w14:textId="77777777" w:rsidR="00C02B01" w:rsidRPr="00AB1C80" w:rsidRDefault="00C02B01" w:rsidP="00AB1C80">
      <w:pPr>
        <w:pStyle w:val="Prrafodelista"/>
        <w:numPr>
          <w:ilvl w:val="0"/>
          <w:numId w:val="3"/>
        </w:numPr>
        <w:spacing w:line="276" w:lineRule="auto"/>
        <w:rPr>
          <w:rFonts w:cs="Arial"/>
        </w:rPr>
      </w:pPr>
      <w:r w:rsidRPr="00AB1C80">
        <w:rPr>
          <w:rFonts w:cs="Arial"/>
        </w:rPr>
        <w:t>Formato Acta_Word</w:t>
      </w:r>
    </w:p>
    <w:p w14:paraId="56A37249" w14:textId="6C8EF46B" w:rsidR="002F5E86" w:rsidRPr="00AB1C80" w:rsidRDefault="00C02B01" w:rsidP="00AB1C80">
      <w:pPr>
        <w:pStyle w:val="Prrafodelista"/>
        <w:numPr>
          <w:ilvl w:val="0"/>
          <w:numId w:val="3"/>
        </w:numPr>
        <w:spacing w:line="276" w:lineRule="auto"/>
        <w:rPr>
          <w:rFonts w:cs="Arial"/>
        </w:rPr>
      </w:pPr>
      <w:r w:rsidRPr="00AB1C80">
        <w:rPr>
          <w:rFonts w:cs="Arial"/>
        </w:rPr>
        <w:t>Formato Acta_PDF (Firmada)</w:t>
      </w:r>
    </w:p>
    <w:p w14:paraId="3BAC8353" w14:textId="77777777" w:rsidR="008F21E6" w:rsidRPr="00AB1C80" w:rsidRDefault="008F21E6" w:rsidP="00AB1C80">
      <w:pPr>
        <w:spacing w:line="276" w:lineRule="auto"/>
        <w:rPr>
          <w:rFonts w:cs="Arial"/>
          <w:color w:val="000000" w:themeColor="text1"/>
          <w:szCs w:val="24"/>
        </w:rPr>
      </w:pPr>
    </w:p>
    <w:p w14:paraId="2112A4FD" w14:textId="2B5A20E4" w:rsidR="00F77FA4" w:rsidRPr="00AB1C80" w:rsidRDefault="00F77FA4" w:rsidP="00AB1C80">
      <w:pPr>
        <w:spacing w:line="276" w:lineRule="auto"/>
        <w:rPr>
          <w:rFonts w:cs="Arial"/>
          <w:color w:val="000000" w:themeColor="text1"/>
        </w:rPr>
      </w:pPr>
      <w:r w:rsidRPr="00AB1C80">
        <w:rPr>
          <w:rFonts w:cs="Arial"/>
          <w:color w:val="000000" w:themeColor="text1"/>
          <w:szCs w:val="24"/>
        </w:rPr>
        <w:br w:type="page"/>
      </w:r>
    </w:p>
    <w:p w14:paraId="23751367" w14:textId="77777777" w:rsidR="00E74337" w:rsidRPr="00AB1C80" w:rsidRDefault="00146084" w:rsidP="00AB1C80">
      <w:pPr>
        <w:pStyle w:val="Ttulo1"/>
        <w:numPr>
          <w:ilvl w:val="0"/>
          <w:numId w:val="0"/>
        </w:numPr>
        <w:spacing w:line="276" w:lineRule="auto"/>
        <w:ind w:left="284" w:hanging="284"/>
        <w:rPr>
          <w:rFonts w:cs="Arial"/>
          <w:szCs w:val="24"/>
          <w:lang w:val="es-CO"/>
        </w:rPr>
      </w:pPr>
      <w:bookmarkStart w:id="0" w:name="_Toc86332909"/>
      <w:r w:rsidRPr="00AB1C80">
        <w:rPr>
          <w:rFonts w:cs="Arial"/>
          <w:szCs w:val="24"/>
          <w:lang w:val="es-CO"/>
        </w:rPr>
        <w:lastRenderedPageBreak/>
        <w:t>INTRODUCCIÓN</w:t>
      </w:r>
      <w:bookmarkEnd w:id="0"/>
    </w:p>
    <w:p w14:paraId="5D760A7E" w14:textId="77777777" w:rsidR="008D4E4D" w:rsidRPr="00AB1C80" w:rsidRDefault="008D4E4D" w:rsidP="00AB1C80">
      <w:pPr>
        <w:spacing w:line="276" w:lineRule="auto"/>
        <w:rPr>
          <w:rFonts w:cs="Arial"/>
          <w:color w:val="000000" w:themeColor="text1"/>
          <w:szCs w:val="24"/>
        </w:rPr>
      </w:pPr>
    </w:p>
    <w:p w14:paraId="470ED4B6" w14:textId="77777777" w:rsidR="00FD7F9A" w:rsidRPr="005C176A" w:rsidRDefault="00FD7F9A" w:rsidP="00FD7F9A">
      <w:pPr>
        <w:pStyle w:val="Default"/>
        <w:ind w:right="49"/>
        <w:jc w:val="both"/>
        <w:rPr>
          <w:rFonts w:ascii="Arial" w:hAnsi="Arial" w:cs="Arial"/>
        </w:rPr>
      </w:pPr>
      <w:r w:rsidRPr="005C176A">
        <w:rPr>
          <w:rFonts w:ascii="Arial" w:hAnsi="Arial" w:cs="Arial"/>
        </w:rPr>
        <w:t>Las actividades y/</w:t>
      </w:r>
      <w:proofErr w:type="spellStart"/>
      <w:r w:rsidRPr="005C176A">
        <w:rPr>
          <w:rFonts w:ascii="Arial" w:hAnsi="Arial" w:cs="Arial"/>
        </w:rPr>
        <w:t>o</w:t>
      </w:r>
      <w:proofErr w:type="spellEnd"/>
      <w:r w:rsidRPr="005C176A">
        <w:rPr>
          <w:rFonts w:ascii="Arial" w:hAnsi="Arial" w:cs="Arial"/>
        </w:rPr>
        <w:t xml:space="preserve"> operaciones mineras en cualquier parte del mundo generan grandes cantidades de residuos sólidos, de los cuales los más importantes en términos de volumen son los estériles.</w:t>
      </w:r>
    </w:p>
    <w:p w14:paraId="1F031C9E" w14:textId="77777777" w:rsidR="00FD7F9A" w:rsidRPr="005C176A" w:rsidRDefault="00FD7F9A" w:rsidP="00FD7F9A">
      <w:pPr>
        <w:pStyle w:val="Default"/>
        <w:ind w:right="49"/>
        <w:jc w:val="both"/>
        <w:rPr>
          <w:rFonts w:ascii="Arial" w:hAnsi="Arial" w:cs="Arial"/>
        </w:rPr>
      </w:pPr>
    </w:p>
    <w:p w14:paraId="556D8C59" w14:textId="77777777" w:rsidR="00FD7F9A" w:rsidRPr="005C176A" w:rsidRDefault="00FD7F9A" w:rsidP="00FD7F9A">
      <w:pPr>
        <w:pStyle w:val="Default"/>
        <w:ind w:right="49"/>
        <w:jc w:val="both"/>
        <w:rPr>
          <w:rFonts w:ascii="Arial" w:hAnsi="Arial" w:cs="Arial"/>
        </w:rPr>
      </w:pPr>
      <w:r w:rsidRPr="005C176A">
        <w:rPr>
          <w:rFonts w:ascii="Arial" w:hAnsi="Arial" w:cs="Arial"/>
        </w:rPr>
        <w:t xml:space="preserve">Los estériles están definidos en el Glosario Técnico Minero (2015) en Colombia, como </w:t>
      </w:r>
      <w:r w:rsidRPr="005C176A">
        <w:rPr>
          <w:rFonts w:ascii="Arial" w:hAnsi="Arial" w:cs="Arial"/>
          <w:lang w:val="es-ES"/>
        </w:rPr>
        <w:t xml:space="preserve">la roca o el material de vena que </w:t>
      </w:r>
      <w:r w:rsidRPr="005C176A">
        <w:rPr>
          <w:rFonts w:ascii="Arial" w:hAnsi="Arial" w:cs="Arial"/>
          <w:b/>
          <w:bCs/>
          <w:lang w:val="es-ES"/>
        </w:rPr>
        <w:t>prácticamente no contiene minerales de valor recuperables</w:t>
      </w:r>
      <w:r w:rsidRPr="005C176A">
        <w:rPr>
          <w:rFonts w:ascii="Arial" w:hAnsi="Arial" w:cs="Arial"/>
          <w:lang w:val="es-ES"/>
        </w:rPr>
        <w:t xml:space="preserve">, que acompañan a los minerales de valor y que es necesario remover durante la operación minera para extraer el mineral útil; en la minería del carbón, es el </w:t>
      </w:r>
      <w:r w:rsidRPr="005C176A">
        <w:rPr>
          <w:rFonts w:ascii="Arial" w:hAnsi="Arial" w:cs="Arial"/>
          <w:b/>
          <w:bCs/>
          <w:lang w:val="es-ES"/>
        </w:rPr>
        <w:t>estrato sin carbón</w:t>
      </w:r>
      <w:r w:rsidRPr="005C176A">
        <w:rPr>
          <w:rFonts w:ascii="Arial" w:hAnsi="Arial" w:cs="Arial"/>
          <w:lang w:val="es-ES"/>
        </w:rPr>
        <w:t xml:space="preserve">, o que contiene mantos de carbón muy delgados para ser minados; en los depósitos minerales lixiviados, es la solución de la cual los </w:t>
      </w:r>
      <w:r w:rsidRPr="005C176A">
        <w:rPr>
          <w:rFonts w:ascii="Arial" w:hAnsi="Arial" w:cs="Arial"/>
          <w:b/>
          <w:bCs/>
          <w:lang w:val="es-ES"/>
        </w:rPr>
        <w:t xml:space="preserve">minerales de valor disueltos han sido removidos </w:t>
      </w:r>
      <w:r w:rsidRPr="005C176A">
        <w:rPr>
          <w:rFonts w:ascii="Arial" w:hAnsi="Arial" w:cs="Arial"/>
          <w:lang w:val="es-ES"/>
        </w:rPr>
        <w:t xml:space="preserve">por precipitación, intercambio de iones, o por extracción por solventes; son los escombros que se forman cuando se explotan las minas. En las explotaciones mineras se utiliza el mineral aprovechable, pero el resto del material que acompaña al mineral y </w:t>
      </w:r>
      <w:r w:rsidRPr="005C176A">
        <w:rPr>
          <w:rFonts w:ascii="Arial" w:hAnsi="Arial" w:cs="Arial"/>
          <w:b/>
          <w:bCs/>
          <w:lang w:val="es-ES"/>
        </w:rPr>
        <w:t>no es útil</w:t>
      </w:r>
      <w:r w:rsidRPr="005C176A">
        <w:rPr>
          <w:rFonts w:ascii="Arial" w:hAnsi="Arial" w:cs="Arial"/>
          <w:lang w:val="es-ES"/>
        </w:rPr>
        <w:t xml:space="preserve"> </w:t>
      </w:r>
      <w:r w:rsidRPr="005C176A">
        <w:rPr>
          <w:rFonts w:ascii="Arial" w:hAnsi="Arial" w:cs="Arial"/>
          <w:b/>
          <w:bCs/>
          <w:lang w:val="es-ES"/>
        </w:rPr>
        <w:t xml:space="preserve">(ganga) </w:t>
      </w:r>
      <w:r w:rsidRPr="005C176A">
        <w:rPr>
          <w:rFonts w:ascii="Arial" w:hAnsi="Arial" w:cs="Arial"/>
          <w:lang w:val="es-ES"/>
        </w:rPr>
        <w:t xml:space="preserve">se deja acumulado cerca de las galerías o explotaciones mineras en forma de derrubios; y son los materiales </w:t>
      </w:r>
      <w:r w:rsidRPr="005C176A">
        <w:rPr>
          <w:rFonts w:ascii="Arial" w:hAnsi="Arial" w:cs="Arial"/>
          <w:b/>
          <w:bCs/>
          <w:lang w:val="es-ES"/>
        </w:rPr>
        <w:t xml:space="preserve">sin valor económico que cubre o es adyacente </w:t>
      </w:r>
      <w:r w:rsidRPr="005C176A">
        <w:rPr>
          <w:rFonts w:ascii="Arial" w:hAnsi="Arial" w:cs="Arial"/>
          <w:lang w:val="es-ES"/>
        </w:rPr>
        <w:t xml:space="preserve">a un depósito de mineral y que debe ser removido antes de extraer el mineral. </w:t>
      </w:r>
    </w:p>
    <w:p w14:paraId="66AE1FF3" w14:textId="77777777" w:rsidR="00FD7F9A" w:rsidRPr="005C176A" w:rsidRDefault="00FD7F9A" w:rsidP="00FD7F9A">
      <w:pPr>
        <w:pStyle w:val="Default"/>
        <w:ind w:right="49"/>
        <w:jc w:val="both"/>
        <w:rPr>
          <w:rFonts w:ascii="Arial" w:hAnsi="Arial" w:cs="Arial"/>
        </w:rPr>
      </w:pPr>
    </w:p>
    <w:p w14:paraId="410CA384" w14:textId="77777777" w:rsidR="00FD7F9A" w:rsidRPr="005C176A" w:rsidRDefault="00FD7F9A" w:rsidP="00FD7F9A">
      <w:pPr>
        <w:pStyle w:val="Default"/>
        <w:ind w:right="49"/>
        <w:jc w:val="both"/>
        <w:rPr>
          <w:rFonts w:ascii="Arial" w:hAnsi="Arial" w:cs="Arial"/>
        </w:rPr>
      </w:pPr>
      <w:r w:rsidRPr="005C176A">
        <w:rPr>
          <w:rFonts w:ascii="Arial" w:hAnsi="Arial" w:cs="Arial"/>
        </w:rPr>
        <w:t>Por lo general lo proyectos mineros tienen un enfoque lineal y están diseñados para la explotación de minerales útiles, de importancia económica o de interés de los mercados globales desechando desde su concepción los materiales adyacentes o gangas u otros elementos o minerales concomitantes, es decir no se realizan caracterizaciones, investigaciones o modelos predictivos desde etapas iniciales o tempranas o desde la fase de prefactibilidad minera, que conlleven un conocimiento integral u holístico del título minero o de los depósitos o yacimientos mineros.</w:t>
      </w:r>
    </w:p>
    <w:p w14:paraId="1CE9CA8F" w14:textId="77777777" w:rsidR="00FD7F9A" w:rsidRPr="005C176A" w:rsidRDefault="00FD7F9A" w:rsidP="00FD7F9A">
      <w:pPr>
        <w:pStyle w:val="Default"/>
        <w:ind w:right="49"/>
        <w:jc w:val="both"/>
        <w:rPr>
          <w:rFonts w:ascii="Arial" w:hAnsi="Arial" w:cs="Arial"/>
        </w:rPr>
      </w:pPr>
    </w:p>
    <w:p w14:paraId="500C8DFD" w14:textId="0416A9A6" w:rsidR="00FD7F9A" w:rsidRPr="005C176A" w:rsidRDefault="00FD7F9A" w:rsidP="00FD7F9A">
      <w:pPr>
        <w:pStyle w:val="Default"/>
        <w:ind w:right="49"/>
        <w:jc w:val="both"/>
        <w:rPr>
          <w:rFonts w:ascii="Arial" w:hAnsi="Arial" w:cs="Arial"/>
        </w:rPr>
      </w:pPr>
      <w:r w:rsidRPr="005C176A">
        <w:rPr>
          <w:rFonts w:ascii="Arial" w:hAnsi="Arial" w:cs="Arial"/>
          <w:color w:val="000000" w:themeColor="text1"/>
        </w:rPr>
        <w:t xml:space="preserve">El presente documento denominado </w:t>
      </w:r>
      <w:r w:rsidRPr="005C176A">
        <w:rPr>
          <w:rFonts w:ascii="Arial" w:hAnsi="Arial" w:cs="Arial"/>
          <w:b/>
          <w:color w:val="000000" w:themeColor="text1"/>
        </w:rPr>
        <w:t>Informe de Recopilación</w:t>
      </w:r>
      <w:r w:rsidRPr="005C176A">
        <w:rPr>
          <w:rFonts w:ascii="Arial" w:hAnsi="Arial" w:cs="Arial"/>
          <w:color w:val="000000" w:themeColor="text1"/>
        </w:rPr>
        <w:t xml:space="preserve">, se elaboró bajo el marco del Contrato de Consultoría GGC-606-2021 celebrado entre el Ministerio de Minas y Energía (Dirección de Minería Empresarial) y la empresa ATG Ltda., que tiene como objeto </w:t>
      </w:r>
      <w:r w:rsidRPr="005C176A">
        <w:rPr>
          <w:rFonts w:ascii="Arial" w:hAnsi="Arial" w:cs="Arial"/>
          <w:b/>
          <w:i/>
          <w:iCs/>
          <w:color w:val="000000" w:themeColor="text1"/>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r w:rsidRPr="005C176A">
        <w:rPr>
          <w:rFonts w:ascii="Arial" w:hAnsi="Arial" w:cs="Arial"/>
          <w:color w:val="000000" w:themeColor="text1"/>
        </w:rPr>
        <w:t>; documento que fue desarrollado y ejecutado a partir de la revisión, análisis e interpretación de información secundaria nacional e internacional e información primaria obtenida a través del desarrollo de reuniones con empresas mineras y mesas de trabajo con actores del sector.</w:t>
      </w:r>
    </w:p>
    <w:p w14:paraId="0CB00C0A" w14:textId="77777777" w:rsidR="00FD7F9A" w:rsidRPr="005C176A" w:rsidRDefault="00FD7F9A" w:rsidP="00FD7F9A">
      <w:pPr>
        <w:pStyle w:val="Default"/>
        <w:ind w:right="49"/>
        <w:jc w:val="both"/>
        <w:rPr>
          <w:rFonts w:ascii="Arial" w:hAnsi="Arial" w:cs="Arial"/>
        </w:rPr>
      </w:pPr>
    </w:p>
    <w:p w14:paraId="58CA890A" w14:textId="77777777" w:rsidR="00FD7F9A" w:rsidRPr="005C176A" w:rsidRDefault="00FD7F9A" w:rsidP="00FD7F9A">
      <w:pPr>
        <w:pStyle w:val="Default"/>
        <w:ind w:right="49"/>
        <w:jc w:val="both"/>
        <w:rPr>
          <w:rFonts w:ascii="Arial" w:hAnsi="Arial" w:cs="Arial"/>
        </w:rPr>
      </w:pPr>
      <w:r w:rsidRPr="005C176A">
        <w:rPr>
          <w:rFonts w:ascii="Arial" w:hAnsi="Arial" w:cs="Arial"/>
        </w:rPr>
        <w:t xml:space="preserve">En cuanto a la gestión y el manejo de estériles, los documentos analizados se enfocan en la estabilidad física y química de los depósitos y profundizan en los </w:t>
      </w:r>
      <w:r w:rsidRPr="005C176A">
        <w:rPr>
          <w:rFonts w:ascii="Arial" w:hAnsi="Arial" w:cs="Arial"/>
        </w:rPr>
        <w:lastRenderedPageBreak/>
        <w:t xml:space="preserve">impactos y riesgos que este tipo de instalaciones mineras propenden sobre su área de influencia; pero son pocos los que basan </w:t>
      </w:r>
    </w:p>
    <w:p w14:paraId="6CF82151" w14:textId="77777777" w:rsidR="00FD7F9A" w:rsidRPr="005C176A" w:rsidRDefault="00FD7F9A" w:rsidP="00FD7F9A">
      <w:pPr>
        <w:pStyle w:val="Default"/>
        <w:ind w:right="49"/>
        <w:jc w:val="both"/>
        <w:rPr>
          <w:rFonts w:ascii="Arial" w:hAnsi="Arial" w:cs="Arial"/>
        </w:rPr>
      </w:pPr>
    </w:p>
    <w:p w14:paraId="062314B8" w14:textId="77777777" w:rsidR="00FD7F9A" w:rsidRPr="005C176A" w:rsidRDefault="00FD7F9A" w:rsidP="00FD7F9A">
      <w:pPr>
        <w:pStyle w:val="Default"/>
        <w:ind w:right="49"/>
        <w:jc w:val="both"/>
        <w:rPr>
          <w:rFonts w:ascii="Arial" w:eastAsia="Times New Roman" w:hAnsi="Arial" w:cs="Arial"/>
          <w:color w:val="202124"/>
          <w:lang w:val="es-ES" w:eastAsia="es-CO"/>
        </w:rPr>
      </w:pPr>
      <w:r w:rsidRPr="005C176A">
        <w:rPr>
          <w:rFonts w:ascii="Arial" w:eastAsia="Times New Roman" w:hAnsi="Arial" w:cs="Arial"/>
          <w:color w:val="202124"/>
          <w:lang w:val="es-ES" w:eastAsia="es-CO"/>
        </w:rPr>
        <w:t xml:space="preserve">La economía circular está emergiendo rápidamente a nivel mundial, en donde las empresas y los gobiernos reconocen cada vez más su potencial para abordar las causas fundamentales de cambio climático, al mismo tiempo que genera nuevos y mejores oportunidades de crecimiento. </w:t>
      </w:r>
    </w:p>
    <w:p w14:paraId="0ADE86BA" w14:textId="77777777" w:rsidR="00FD7F9A" w:rsidRPr="005C176A" w:rsidRDefault="00FD7F9A" w:rsidP="00FD7F9A">
      <w:pPr>
        <w:pStyle w:val="Default"/>
        <w:ind w:right="49"/>
        <w:jc w:val="both"/>
        <w:rPr>
          <w:rFonts w:ascii="Arial" w:eastAsia="Times New Roman" w:hAnsi="Arial" w:cs="Arial"/>
          <w:color w:val="202124"/>
          <w:lang w:val="es-ES" w:eastAsia="es-CO"/>
        </w:rPr>
      </w:pPr>
    </w:p>
    <w:p w14:paraId="15E343AC" w14:textId="77777777" w:rsidR="00FD7F9A" w:rsidRPr="005C176A" w:rsidRDefault="00FD7F9A" w:rsidP="00FD7F9A">
      <w:pPr>
        <w:pStyle w:val="Default"/>
        <w:ind w:right="49"/>
        <w:jc w:val="both"/>
        <w:rPr>
          <w:rFonts w:ascii="Arial" w:eastAsia="Times New Roman" w:hAnsi="Arial" w:cs="Arial"/>
          <w:color w:val="202124"/>
          <w:lang w:val="es-ES" w:eastAsia="es-CO"/>
        </w:rPr>
      </w:pPr>
      <w:r w:rsidRPr="005C176A">
        <w:rPr>
          <w:rFonts w:ascii="Arial" w:eastAsia="Times New Roman" w:hAnsi="Arial" w:cs="Arial"/>
          <w:color w:val="202124"/>
          <w:lang w:val="es-ES" w:eastAsia="es-CO"/>
        </w:rPr>
        <w:t xml:space="preserve">Este interés también ha crecido en términos de investigación académica sobre cómo se relaciona la minería con la sostenibilidad y el desarrollo sostenible, en particular durante las últimas dos décadas, en donde los conceptos de sostenibilidad y DS se volvieron particularmente relevantes a escala global y comenzó a ganar jerarquía e importancia a nivel de gobernanza en el contexto de la industria minera a través de diversas iniciativas. </w:t>
      </w:r>
    </w:p>
    <w:p w14:paraId="4AA7D681" w14:textId="77777777" w:rsidR="00FD7F9A" w:rsidRPr="005C176A" w:rsidRDefault="00FD7F9A" w:rsidP="00FD7F9A">
      <w:pPr>
        <w:pStyle w:val="Default"/>
        <w:ind w:right="49"/>
        <w:jc w:val="both"/>
        <w:rPr>
          <w:rFonts w:ascii="Arial" w:eastAsia="Times New Roman" w:hAnsi="Arial" w:cs="Arial"/>
          <w:color w:val="202124"/>
          <w:lang w:val="es-ES" w:eastAsia="es-CO"/>
        </w:rPr>
      </w:pPr>
    </w:p>
    <w:p w14:paraId="23DCF579" w14:textId="77777777" w:rsidR="00FD7F9A" w:rsidRPr="003B793E" w:rsidRDefault="00FD7F9A" w:rsidP="00FD7F9A">
      <w:pPr>
        <w:pStyle w:val="Default"/>
        <w:ind w:right="49"/>
        <w:jc w:val="both"/>
        <w:rPr>
          <w:rFonts w:ascii="Arial" w:hAnsi="Arial" w:cs="Arial"/>
          <w:sz w:val="22"/>
          <w:szCs w:val="22"/>
        </w:rPr>
      </w:pPr>
      <w:r w:rsidRPr="005C176A">
        <w:rPr>
          <w:rFonts w:ascii="Arial" w:eastAsia="Calibri" w:hAnsi="Arial" w:cs="Arial"/>
          <w:lang w:val="es-ES"/>
        </w:rPr>
        <w:t xml:space="preserve">En este documento se presenta una visión general, </w:t>
      </w:r>
      <w:r w:rsidRPr="005C176A">
        <w:rPr>
          <w:rFonts w:ascii="Arial" w:hAnsi="Arial" w:cs="Arial"/>
          <w:color w:val="000000" w:themeColor="text1"/>
        </w:rPr>
        <w:t>análisis, crítica e interpretación de los datos obtenidos sobre</w:t>
      </w:r>
      <w:r w:rsidRPr="005C176A">
        <w:rPr>
          <w:rFonts w:ascii="Arial" w:eastAsia="Calibri" w:hAnsi="Arial" w:cs="Arial"/>
          <w:lang w:val="es-ES"/>
        </w:rPr>
        <w:t xml:space="preserve">a Gestión y Manejo de Estériles y sobre la Economía Circular, mediante la recopilación y análisis de información secundaria nacional e internacional más representativa, </w:t>
      </w:r>
      <w:r w:rsidRPr="005C176A">
        <w:rPr>
          <w:rFonts w:ascii="Arial" w:hAnsi="Arial" w:cs="Arial"/>
          <w:color w:val="000000" w:themeColor="text1"/>
        </w:rPr>
        <w:t>consultas (páginas web académicas y científicas, revisión bibliográfica) e información para la documentación, validación de procesos y procedimientos para la ejecución de los procesos mineros relacionados con “Gestión y manejo de estériles en minería” y con “Economía circular en la actividad minera”, más</w:t>
      </w:r>
      <w:r w:rsidRPr="005C176A">
        <w:rPr>
          <w:rFonts w:ascii="Arial" w:eastAsia="Calibri" w:hAnsi="Arial" w:cs="Arial"/>
          <w:lang w:val="es-ES"/>
        </w:rPr>
        <w:t xml:space="preserve"> la información primaria obtenida de las reuniones con empresas y actores del sector minero.</w:t>
      </w:r>
      <w:r w:rsidRPr="003B793E">
        <w:rPr>
          <w:rFonts w:ascii="Arial" w:eastAsia="Calibri" w:hAnsi="Arial" w:cs="Arial"/>
          <w:sz w:val="22"/>
          <w:szCs w:val="22"/>
          <w:lang w:val="es-ES"/>
        </w:rPr>
        <w:t xml:space="preserve"> </w:t>
      </w:r>
    </w:p>
    <w:p w14:paraId="5B16854B" w14:textId="2143F4B0" w:rsidR="00D00003" w:rsidRPr="00AB1C80" w:rsidRDefault="00D00003" w:rsidP="00AB1C80">
      <w:pPr>
        <w:spacing w:line="276" w:lineRule="auto"/>
        <w:rPr>
          <w:rFonts w:cs="Arial"/>
          <w:color w:val="000000" w:themeColor="text1"/>
          <w:szCs w:val="24"/>
        </w:rPr>
      </w:pPr>
    </w:p>
    <w:p w14:paraId="0A0480D1" w14:textId="77777777" w:rsidR="00D00003" w:rsidRPr="00AB1C80" w:rsidRDefault="00113126" w:rsidP="00AB1C80">
      <w:pPr>
        <w:spacing w:line="276" w:lineRule="auto"/>
        <w:jc w:val="left"/>
        <w:rPr>
          <w:rFonts w:cs="Arial"/>
          <w:color w:val="000000" w:themeColor="text1"/>
          <w:szCs w:val="24"/>
        </w:rPr>
      </w:pPr>
      <w:r w:rsidRPr="00AB1C80">
        <w:rPr>
          <w:rFonts w:cs="Arial"/>
          <w:color w:val="000000" w:themeColor="text1"/>
          <w:szCs w:val="24"/>
        </w:rPr>
        <w:br w:type="page"/>
      </w:r>
    </w:p>
    <w:p w14:paraId="69CE7AFC" w14:textId="77777777" w:rsidR="00D00003" w:rsidRPr="00AB1C80" w:rsidRDefault="00113126" w:rsidP="00AB1C80">
      <w:pPr>
        <w:pStyle w:val="Ttulo1"/>
        <w:spacing w:line="276" w:lineRule="auto"/>
        <w:rPr>
          <w:rFonts w:cs="Arial"/>
          <w:szCs w:val="24"/>
          <w:lang w:val="es-CO"/>
        </w:rPr>
      </w:pPr>
      <w:bookmarkStart w:id="1" w:name="_Toc86332910"/>
      <w:r w:rsidRPr="00AB1C80">
        <w:rPr>
          <w:rFonts w:cs="Arial"/>
          <w:szCs w:val="24"/>
          <w:lang w:val="es-CO"/>
        </w:rPr>
        <w:lastRenderedPageBreak/>
        <w:t>METODOLOGÍA GENERAL</w:t>
      </w:r>
      <w:bookmarkEnd w:id="1"/>
    </w:p>
    <w:p w14:paraId="47E30642" w14:textId="6BFFC5E1" w:rsidR="00D00A0E" w:rsidRPr="00AB1C80" w:rsidRDefault="00D00A0E" w:rsidP="00AB1C80">
      <w:pPr>
        <w:spacing w:line="276" w:lineRule="auto"/>
        <w:rPr>
          <w:rFonts w:cs="Arial"/>
          <w:color w:val="000000" w:themeColor="text1"/>
          <w:szCs w:val="24"/>
        </w:rPr>
      </w:pPr>
    </w:p>
    <w:p w14:paraId="4E57317D" w14:textId="3CA42E52" w:rsidR="00BB412E" w:rsidRPr="00AB1C80" w:rsidRDefault="00BB412E" w:rsidP="00AB1C80">
      <w:pPr>
        <w:spacing w:line="276" w:lineRule="auto"/>
        <w:rPr>
          <w:rFonts w:cs="Arial"/>
          <w:color w:val="000000" w:themeColor="text1"/>
          <w:szCs w:val="24"/>
        </w:rPr>
      </w:pPr>
      <w:r w:rsidRPr="00AB1C80">
        <w:rPr>
          <w:rFonts w:cs="Arial"/>
          <w:color w:val="000000" w:themeColor="text1"/>
          <w:szCs w:val="24"/>
        </w:rPr>
        <w:t xml:space="preserve">Para la construcción y elaboración de la propuesta de lineamientos de políticas respecto a los procesos relacionados con gestión y manejo de estériles y economía circular, se realizó la recopilación, revisión, análisis e interpretación de información relacionada a mejores prácticas, técnicas disponibles y disposiciones </w:t>
      </w:r>
      <w:r w:rsidR="000875AD" w:rsidRPr="00AB1C80">
        <w:rPr>
          <w:rFonts w:cs="Arial"/>
          <w:color w:val="000000" w:themeColor="text1"/>
          <w:szCs w:val="24"/>
        </w:rPr>
        <w:t>para</w:t>
      </w:r>
      <w:r w:rsidRPr="00AB1C80">
        <w:rPr>
          <w:rFonts w:cs="Arial"/>
          <w:color w:val="000000" w:themeColor="text1"/>
          <w:szCs w:val="24"/>
        </w:rPr>
        <w:t xml:space="preserve"> el manejo y gestión de los relaves y drenajes ácidos mineros. La información fue obtenida en dos fases, la primera fase correspondiente a información secundaria recopilada a nivel nacional e internacional, y la segunda fase, a información primaria proveniente de las experiencias y conocimiento aportado por empresas mineras, actores institucionales, académicos y organizaciones del país.</w:t>
      </w:r>
    </w:p>
    <w:p w14:paraId="4E81375D" w14:textId="77777777" w:rsidR="00BB412E" w:rsidRPr="00AB1C80" w:rsidRDefault="00BB412E" w:rsidP="00AB1C80">
      <w:pPr>
        <w:spacing w:line="276" w:lineRule="auto"/>
        <w:rPr>
          <w:rFonts w:cs="Arial"/>
          <w:color w:val="000000" w:themeColor="text1"/>
          <w:szCs w:val="24"/>
        </w:rPr>
      </w:pPr>
    </w:p>
    <w:p w14:paraId="47FAF28E" w14:textId="2B0B18DC" w:rsidR="00E61A82" w:rsidRPr="00AB1C80" w:rsidRDefault="00E61A82" w:rsidP="00AB1C80">
      <w:pPr>
        <w:pStyle w:val="Ttulo2"/>
        <w:spacing w:line="276" w:lineRule="auto"/>
        <w:rPr>
          <w:rFonts w:cs="Arial"/>
          <w:szCs w:val="24"/>
        </w:rPr>
      </w:pPr>
      <w:bookmarkStart w:id="2" w:name="_Toc86332911"/>
      <w:r w:rsidRPr="00AB1C80">
        <w:rPr>
          <w:rFonts w:cs="Arial"/>
          <w:szCs w:val="24"/>
        </w:rPr>
        <w:t>Primera fase (información secundaria)</w:t>
      </w:r>
      <w:bookmarkEnd w:id="2"/>
    </w:p>
    <w:p w14:paraId="01381CE3" w14:textId="77777777" w:rsidR="00E61A82" w:rsidRPr="00AB1C80" w:rsidRDefault="00E61A82" w:rsidP="00AB1C80">
      <w:pPr>
        <w:spacing w:line="276" w:lineRule="auto"/>
        <w:rPr>
          <w:rFonts w:cs="Arial"/>
          <w:color w:val="000000" w:themeColor="text1"/>
          <w:szCs w:val="24"/>
        </w:rPr>
      </w:pPr>
    </w:p>
    <w:p w14:paraId="747EEED3" w14:textId="1545FC31" w:rsidR="00BB412E" w:rsidRPr="00AB1C80" w:rsidRDefault="00BB412E" w:rsidP="00AB1C80">
      <w:pPr>
        <w:spacing w:line="276" w:lineRule="auto"/>
        <w:rPr>
          <w:rFonts w:cs="Arial"/>
          <w:color w:val="000000" w:themeColor="text1"/>
          <w:szCs w:val="24"/>
        </w:rPr>
      </w:pPr>
      <w:r w:rsidRPr="00AB1C80">
        <w:rPr>
          <w:rFonts w:cs="Arial"/>
          <w:color w:val="000000" w:themeColor="text1"/>
          <w:szCs w:val="24"/>
        </w:rPr>
        <w:t xml:space="preserve">Para la recolección de información secundaria, se recibió un listado inicial de documentos y referentes bibliográficos por </w:t>
      </w:r>
      <w:r w:rsidR="000875AD" w:rsidRPr="00AB1C80">
        <w:rPr>
          <w:rFonts w:cs="Arial"/>
          <w:color w:val="000000" w:themeColor="text1"/>
          <w:szCs w:val="24"/>
        </w:rPr>
        <w:t>parte d</w:t>
      </w:r>
      <w:r w:rsidRPr="00AB1C80">
        <w:rPr>
          <w:rFonts w:cs="Arial"/>
          <w:color w:val="000000" w:themeColor="text1"/>
          <w:szCs w:val="24"/>
        </w:rPr>
        <w:t>el Ministerio de Minas y Energía (Dirección de Minería Empresarial), listado que fue complementado a partir del conocimiento</w:t>
      </w:r>
      <w:r w:rsidR="000875AD" w:rsidRPr="00AB1C80">
        <w:rPr>
          <w:rFonts w:cs="Arial"/>
          <w:color w:val="000000" w:themeColor="text1"/>
          <w:szCs w:val="24"/>
        </w:rPr>
        <w:t xml:space="preserve"> y </w:t>
      </w:r>
      <w:r w:rsidRPr="00AB1C80">
        <w:rPr>
          <w:rFonts w:cs="Arial"/>
          <w:color w:val="000000" w:themeColor="text1"/>
          <w:szCs w:val="24"/>
        </w:rPr>
        <w:t xml:space="preserve">experiencia del equipo de trabajo de ATG Ltda. y sugerencias realizadas por representantes del sector durante el desarrollo de las reuniones y mesas de trabajo realizadas. Se consultaron portales web de entidades gubernamentales, organizaciones internacionales, academia, empresas mineras, consultores y diferentes actores del sector a nivel nacional e internacional utilizando palabras o frases claves relacionadas con cada temática. </w:t>
      </w:r>
    </w:p>
    <w:p w14:paraId="449D032C" w14:textId="28FC4DBB" w:rsidR="00BB412E" w:rsidRPr="00AB1C80" w:rsidRDefault="00BB412E" w:rsidP="00AB1C80">
      <w:pPr>
        <w:spacing w:line="276" w:lineRule="auto"/>
        <w:rPr>
          <w:rFonts w:cs="Arial"/>
          <w:color w:val="000000" w:themeColor="text1"/>
          <w:szCs w:val="24"/>
        </w:rPr>
      </w:pPr>
    </w:p>
    <w:p w14:paraId="751AA32B" w14:textId="104AEC57" w:rsidR="00BB412E" w:rsidRPr="00AB1C80" w:rsidRDefault="00BB412E" w:rsidP="00AB1C80">
      <w:pPr>
        <w:spacing w:line="276" w:lineRule="auto"/>
        <w:rPr>
          <w:rFonts w:cs="Arial"/>
          <w:color w:val="000000" w:themeColor="text1"/>
          <w:szCs w:val="24"/>
        </w:rPr>
      </w:pPr>
      <w:r w:rsidRPr="00AB1C80">
        <w:rPr>
          <w:rFonts w:cs="Arial"/>
          <w:b/>
          <w:bCs/>
          <w:color w:val="000000" w:themeColor="text1"/>
          <w:szCs w:val="24"/>
        </w:rPr>
        <w:t>Gestión y manejo de estériles mineros:</w:t>
      </w:r>
      <w:r w:rsidRPr="00AB1C80">
        <w:rPr>
          <w:rFonts w:cs="Arial"/>
          <w:color w:val="000000" w:themeColor="text1"/>
          <w:szCs w:val="24"/>
        </w:rPr>
        <w:t xml:space="preserve"> </w:t>
      </w:r>
      <w:r w:rsidR="007D3026" w:rsidRPr="00AB1C80">
        <w:rPr>
          <w:rFonts w:cs="Arial"/>
        </w:rPr>
        <w:t>residuo minero, estéril minero, residuos sólidos mineros, residuos industriales, residuos extractivos, escombreras, botadero, instalaciones mineras, estabilidad física, estabilidad química, criterios de diseño, faena minera, buenas prácticas, mejores prácticas.</w:t>
      </w:r>
    </w:p>
    <w:p w14:paraId="0B43CF6C" w14:textId="77777777" w:rsidR="00BB412E" w:rsidRPr="00AB1C80" w:rsidRDefault="00BB412E" w:rsidP="00AB1C80">
      <w:pPr>
        <w:spacing w:line="276" w:lineRule="auto"/>
        <w:rPr>
          <w:rFonts w:cs="Arial"/>
          <w:color w:val="000000" w:themeColor="text1"/>
          <w:szCs w:val="24"/>
        </w:rPr>
      </w:pPr>
    </w:p>
    <w:p w14:paraId="3DF735EA" w14:textId="1CEDADBF" w:rsidR="00BB412E" w:rsidRPr="00AB1C80" w:rsidRDefault="00BB412E" w:rsidP="00AB1C80">
      <w:pPr>
        <w:spacing w:line="276" w:lineRule="auto"/>
        <w:rPr>
          <w:rFonts w:cs="Arial"/>
          <w:color w:val="000000" w:themeColor="text1"/>
          <w:szCs w:val="24"/>
        </w:rPr>
      </w:pPr>
      <w:r w:rsidRPr="00AB1C80">
        <w:rPr>
          <w:rFonts w:cs="Arial"/>
          <w:b/>
          <w:bCs/>
          <w:color w:val="000000" w:themeColor="text1"/>
          <w:szCs w:val="24"/>
        </w:rPr>
        <w:t>Economía circular:</w:t>
      </w:r>
      <w:r w:rsidRPr="00AB1C80">
        <w:rPr>
          <w:rFonts w:cs="Arial"/>
          <w:color w:val="000000" w:themeColor="text1"/>
          <w:szCs w:val="24"/>
        </w:rPr>
        <w:t xml:space="preserve"> </w:t>
      </w:r>
      <w:r w:rsidR="007D3026" w:rsidRPr="00AB1C80">
        <w:rPr>
          <w:rFonts w:cs="Arial"/>
        </w:rPr>
        <w:t>suministros circulares, recuperación de recursos, plataformas colaborativas, sistemas de producción, desarrollo sostenible, sistemas regenerativos, metabolismo circular, economía circular, basura cero, energía circular, simbiosis industrial, fujo de materiales, modelos razonables.</w:t>
      </w:r>
    </w:p>
    <w:p w14:paraId="4FDC379C" w14:textId="77777777" w:rsidR="00BB412E" w:rsidRPr="00AB1C80" w:rsidRDefault="00BB412E" w:rsidP="00AB1C80">
      <w:pPr>
        <w:spacing w:line="276" w:lineRule="auto"/>
        <w:rPr>
          <w:rFonts w:cs="Arial"/>
          <w:color w:val="000000" w:themeColor="text1"/>
          <w:szCs w:val="24"/>
        </w:rPr>
      </w:pPr>
    </w:p>
    <w:p w14:paraId="4E4E4133" w14:textId="5095A09D" w:rsidR="00BB412E" w:rsidRPr="00AB1C80" w:rsidRDefault="00BB412E" w:rsidP="00AB1C80">
      <w:pPr>
        <w:spacing w:line="276" w:lineRule="auto"/>
        <w:rPr>
          <w:rFonts w:cs="Arial"/>
          <w:color w:val="000000" w:themeColor="text1"/>
          <w:szCs w:val="24"/>
        </w:rPr>
      </w:pPr>
      <w:r w:rsidRPr="00AB1C80">
        <w:rPr>
          <w:rFonts w:cs="Arial"/>
          <w:color w:val="000000" w:themeColor="text1"/>
          <w:szCs w:val="24"/>
        </w:rPr>
        <w:t xml:space="preserve">Los documentos encontrados que fueron sujeto de lectura, análisis e interpretación correspondieron a manuales técnicos, guías técnicas, directrices, estándares, normatividad, estudios de impacto ambiental, guías, informes, presentaciones, programas técnicos, proyectos, tesis y demás documentación relacionada a los temas de la presente consultoría, encontrando información de países en diferentes </w:t>
      </w:r>
      <w:r w:rsidRPr="00AB1C80">
        <w:rPr>
          <w:rFonts w:cs="Arial"/>
          <w:color w:val="000000" w:themeColor="text1"/>
          <w:szCs w:val="24"/>
        </w:rPr>
        <w:lastRenderedPageBreak/>
        <w:t xml:space="preserve">latitudes, en </w:t>
      </w:r>
      <w:r w:rsidRPr="00AB1C80">
        <w:rPr>
          <w:rFonts w:cs="Arial"/>
          <w:b/>
          <w:color w:val="000000" w:themeColor="text1"/>
          <w:szCs w:val="24"/>
        </w:rPr>
        <w:t>América</w:t>
      </w:r>
      <w:r w:rsidRPr="00AB1C80">
        <w:rPr>
          <w:rFonts w:cs="Arial"/>
          <w:color w:val="000000" w:themeColor="text1"/>
          <w:szCs w:val="24"/>
        </w:rPr>
        <w:t xml:space="preserve"> se obtuvo información de Canadá, </w:t>
      </w:r>
      <w:r w:rsidR="00B062E4" w:rsidRPr="00AB1C80">
        <w:rPr>
          <w:rFonts w:cs="Arial"/>
          <w:color w:val="000000" w:themeColor="text1"/>
          <w:szCs w:val="24"/>
        </w:rPr>
        <w:t>Colombia</w:t>
      </w:r>
      <w:r w:rsidRPr="00AB1C80">
        <w:rPr>
          <w:rFonts w:cs="Arial"/>
          <w:color w:val="000000" w:themeColor="text1"/>
          <w:szCs w:val="24"/>
        </w:rPr>
        <w:t xml:space="preserve">, </w:t>
      </w:r>
      <w:r w:rsidR="00B062E4" w:rsidRPr="00AB1C80">
        <w:rPr>
          <w:rFonts w:cs="Arial"/>
          <w:color w:val="000000" w:themeColor="text1"/>
          <w:szCs w:val="24"/>
        </w:rPr>
        <w:t>Brasil, Argentina, Chile, Perú y Ecuador</w:t>
      </w:r>
      <w:r w:rsidRPr="00AB1C80">
        <w:rPr>
          <w:rFonts w:cs="Arial"/>
          <w:color w:val="000000" w:themeColor="text1"/>
          <w:szCs w:val="24"/>
        </w:rPr>
        <w:t xml:space="preserve">; en </w:t>
      </w:r>
      <w:r w:rsidRPr="00AB1C80">
        <w:rPr>
          <w:rFonts w:cs="Arial"/>
          <w:b/>
          <w:bCs/>
          <w:color w:val="000000" w:themeColor="text1"/>
          <w:szCs w:val="24"/>
        </w:rPr>
        <w:t>Europa</w:t>
      </w:r>
      <w:r w:rsidRPr="00AB1C80">
        <w:rPr>
          <w:rFonts w:cs="Arial"/>
          <w:b/>
          <w:color w:val="000000" w:themeColor="text1"/>
          <w:szCs w:val="24"/>
        </w:rPr>
        <w:t xml:space="preserve"> </w:t>
      </w:r>
      <w:r w:rsidRPr="00AB1C80">
        <w:rPr>
          <w:rFonts w:cs="Arial"/>
          <w:color w:val="000000" w:themeColor="text1"/>
          <w:szCs w:val="24"/>
        </w:rPr>
        <w:t>de</w:t>
      </w:r>
      <w:r w:rsidRPr="00AB1C80">
        <w:rPr>
          <w:rFonts w:cs="Arial"/>
          <w:b/>
          <w:color w:val="000000" w:themeColor="text1"/>
          <w:szCs w:val="24"/>
        </w:rPr>
        <w:t xml:space="preserve"> </w:t>
      </w:r>
      <w:r w:rsidR="00B062E4" w:rsidRPr="00AB1C80">
        <w:rPr>
          <w:rFonts w:cs="Arial"/>
          <w:bCs/>
          <w:color w:val="000000" w:themeColor="text1"/>
          <w:szCs w:val="24"/>
        </w:rPr>
        <w:t xml:space="preserve">Escocia, </w:t>
      </w:r>
      <w:r w:rsidR="00B062E4" w:rsidRPr="00AB1C80">
        <w:rPr>
          <w:rFonts w:cs="Arial"/>
          <w:color w:val="000000" w:themeColor="text1"/>
          <w:szCs w:val="24"/>
        </w:rPr>
        <w:t>Reino Unido, Finlandia</w:t>
      </w:r>
      <w:r w:rsidR="009B6171" w:rsidRPr="00AB1C80">
        <w:rPr>
          <w:rFonts w:cs="Arial"/>
          <w:color w:val="000000" w:themeColor="text1"/>
          <w:szCs w:val="24"/>
        </w:rPr>
        <w:t>, Alemania</w:t>
      </w:r>
      <w:r w:rsidR="00B062E4" w:rsidRPr="00AB1C80">
        <w:rPr>
          <w:rFonts w:cs="Arial"/>
          <w:color w:val="000000" w:themeColor="text1"/>
          <w:szCs w:val="24"/>
        </w:rPr>
        <w:t xml:space="preserve"> y </w:t>
      </w:r>
      <w:r w:rsidRPr="00AB1C80">
        <w:rPr>
          <w:rFonts w:cs="Arial"/>
          <w:color w:val="000000" w:themeColor="text1"/>
          <w:szCs w:val="24"/>
        </w:rPr>
        <w:t xml:space="preserve">España; en </w:t>
      </w:r>
      <w:r w:rsidRPr="00AB1C80">
        <w:rPr>
          <w:rFonts w:cs="Arial"/>
          <w:b/>
          <w:color w:val="000000" w:themeColor="text1"/>
          <w:szCs w:val="24"/>
        </w:rPr>
        <w:t>Asia</w:t>
      </w:r>
      <w:r w:rsidRPr="00AB1C80">
        <w:rPr>
          <w:rFonts w:cs="Arial"/>
          <w:color w:val="000000" w:themeColor="text1"/>
          <w:szCs w:val="24"/>
        </w:rPr>
        <w:t xml:space="preserve"> de</w:t>
      </w:r>
      <w:r w:rsidRPr="00AB1C80">
        <w:rPr>
          <w:rFonts w:cs="Arial"/>
          <w:b/>
          <w:color w:val="000000" w:themeColor="text1"/>
          <w:szCs w:val="24"/>
        </w:rPr>
        <w:t xml:space="preserve"> </w:t>
      </w:r>
      <w:r w:rsidR="00B062E4" w:rsidRPr="00AB1C80">
        <w:rPr>
          <w:rFonts w:cs="Arial"/>
          <w:color w:val="000000" w:themeColor="text1"/>
          <w:szCs w:val="24"/>
        </w:rPr>
        <w:t>Rusia, Corea, Japón, China e India</w:t>
      </w:r>
      <w:r w:rsidRPr="00AB1C80">
        <w:rPr>
          <w:rFonts w:cs="Arial"/>
          <w:color w:val="000000" w:themeColor="text1"/>
          <w:szCs w:val="24"/>
        </w:rPr>
        <w:t xml:space="preserve">, y en </w:t>
      </w:r>
      <w:r w:rsidRPr="00AB1C80">
        <w:rPr>
          <w:rFonts w:cs="Arial"/>
          <w:b/>
          <w:color w:val="000000" w:themeColor="text1"/>
          <w:szCs w:val="24"/>
        </w:rPr>
        <w:t xml:space="preserve">Oceanía </w:t>
      </w:r>
      <w:r w:rsidRPr="00AB1C80">
        <w:rPr>
          <w:rFonts w:cs="Arial"/>
          <w:bCs/>
          <w:color w:val="000000" w:themeColor="text1"/>
          <w:szCs w:val="24"/>
        </w:rPr>
        <w:t>de</w:t>
      </w:r>
      <w:r w:rsidRPr="00AB1C80">
        <w:rPr>
          <w:rFonts w:cs="Arial"/>
          <w:b/>
          <w:color w:val="000000" w:themeColor="text1"/>
          <w:szCs w:val="24"/>
        </w:rPr>
        <w:t xml:space="preserve"> </w:t>
      </w:r>
      <w:r w:rsidRPr="00AB1C80">
        <w:rPr>
          <w:rFonts w:cs="Arial"/>
          <w:color w:val="000000" w:themeColor="text1"/>
          <w:szCs w:val="24"/>
        </w:rPr>
        <w:t xml:space="preserve">Australia, (ver </w:t>
      </w:r>
      <w:r w:rsidRPr="00AB1C80">
        <w:rPr>
          <w:rFonts w:cs="Arial"/>
          <w:b/>
          <w:color w:val="000000" w:themeColor="text1"/>
          <w:szCs w:val="24"/>
        </w:rPr>
        <w:fldChar w:fldCharType="begin"/>
      </w:r>
      <w:r w:rsidRPr="00AB1C80">
        <w:rPr>
          <w:rFonts w:cs="Arial"/>
          <w:b/>
          <w:color w:val="000000" w:themeColor="text1"/>
          <w:szCs w:val="24"/>
        </w:rPr>
        <w:instrText xml:space="preserve"> REF _Ref50646147 \h  \* MERGEFORMAT </w:instrText>
      </w:r>
      <w:r w:rsidRPr="00AB1C80">
        <w:rPr>
          <w:rFonts w:cs="Arial"/>
          <w:b/>
          <w:color w:val="000000" w:themeColor="text1"/>
          <w:szCs w:val="24"/>
        </w:rPr>
      </w:r>
      <w:r w:rsidRPr="00AB1C80">
        <w:rPr>
          <w:rFonts w:cs="Arial"/>
          <w:b/>
          <w:color w:val="000000" w:themeColor="text1"/>
          <w:szCs w:val="24"/>
        </w:rPr>
        <w:fldChar w:fldCharType="separate"/>
      </w:r>
      <w:r w:rsidR="00AB1C80" w:rsidRPr="00AB1C80">
        <w:rPr>
          <w:rFonts w:cs="Arial"/>
          <w:b/>
          <w:color w:val="000000" w:themeColor="text1"/>
          <w:szCs w:val="24"/>
        </w:rPr>
        <w:t>Figura 1</w:t>
      </w:r>
      <w:r w:rsidRPr="00AB1C80">
        <w:rPr>
          <w:rFonts w:cs="Arial"/>
          <w:b/>
          <w:color w:val="000000" w:themeColor="text1"/>
          <w:szCs w:val="24"/>
        </w:rPr>
        <w:fldChar w:fldCharType="end"/>
      </w:r>
      <w:r w:rsidRPr="00AB1C80">
        <w:rPr>
          <w:rFonts w:cs="Arial"/>
          <w:color w:val="000000" w:themeColor="text1"/>
          <w:szCs w:val="24"/>
        </w:rPr>
        <w:t xml:space="preserve">). </w:t>
      </w:r>
    </w:p>
    <w:p w14:paraId="2B282017" w14:textId="77777777" w:rsidR="00BB412E" w:rsidRPr="00AB1C80" w:rsidRDefault="00BB412E" w:rsidP="00AB1C80">
      <w:pPr>
        <w:spacing w:line="276" w:lineRule="auto"/>
        <w:rPr>
          <w:rFonts w:cs="Arial"/>
          <w:color w:val="000000" w:themeColor="text1"/>
          <w:szCs w:val="24"/>
        </w:rPr>
      </w:pPr>
    </w:p>
    <w:p w14:paraId="3D63CEAC" w14:textId="04F4BD6E" w:rsidR="00BB412E" w:rsidRPr="00AB1C80" w:rsidRDefault="00BB412E" w:rsidP="00AB1C80">
      <w:pPr>
        <w:spacing w:line="276" w:lineRule="auto"/>
        <w:rPr>
          <w:rFonts w:cs="Arial"/>
          <w:color w:val="000000" w:themeColor="text1"/>
          <w:szCs w:val="24"/>
        </w:rPr>
      </w:pPr>
      <w:r w:rsidRPr="00AB1C80">
        <w:rPr>
          <w:rFonts w:cs="Arial"/>
          <w:color w:val="000000" w:themeColor="text1"/>
          <w:szCs w:val="24"/>
        </w:rPr>
        <w:t>Para plasmar la información de cada documento seleccionado, se elaboró el resumen, análisis, crítica e interpretación (</w:t>
      </w:r>
      <w:r w:rsidRPr="00AB1C80">
        <w:rPr>
          <w:rFonts w:cs="Arial"/>
          <w:b/>
          <w:color w:val="000000" w:themeColor="text1"/>
          <w:szCs w:val="24"/>
        </w:rPr>
        <w:t>Anexo 1</w:t>
      </w:r>
      <w:r w:rsidRPr="00AB1C80">
        <w:rPr>
          <w:rFonts w:cs="Arial"/>
          <w:color w:val="000000" w:themeColor="text1"/>
          <w:szCs w:val="24"/>
        </w:rPr>
        <w:t xml:space="preserve">) a </w:t>
      </w:r>
      <w:r w:rsidR="001C6F27" w:rsidRPr="00AB1C80">
        <w:rPr>
          <w:rFonts w:cs="Arial"/>
          <w:color w:val="000000" w:themeColor="text1"/>
          <w:szCs w:val="24"/>
        </w:rPr>
        <w:t>setenta</w:t>
      </w:r>
      <w:r w:rsidRPr="00AB1C80">
        <w:rPr>
          <w:rFonts w:cs="Arial"/>
          <w:color w:val="000000" w:themeColor="text1"/>
          <w:szCs w:val="24"/>
        </w:rPr>
        <w:t xml:space="preserve"> </w:t>
      </w:r>
      <w:r w:rsidR="001C6F27" w:rsidRPr="00AB1C80">
        <w:rPr>
          <w:rFonts w:cs="Arial"/>
          <w:color w:val="000000" w:themeColor="text1"/>
          <w:szCs w:val="24"/>
        </w:rPr>
        <w:t xml:space="preserve">y siete </w:t>
      </w:r>
      <w:r w:rsidRPr="00AB1C80">
        <w:rPr>
          <w:rFonts w:cs="Arial"/>
          <w:b/>
          <w:color w:val="000000" w:themeColor="text1"/>
          <w:szCs w:val="24"/>
        </w:rPr>
        <w:t>(</w:t>
      </w:r>
      <w:r w:rsidR="001C6F27" w:rsidRPr="00AB1C80">
        <w:rPr>
          <w:rFonts w:cs="Arial"/>
          <w:b/>
          <w:color w:val="000000" w:themeColor="text1"/>
          <w:szCs w:val="24"/>
        </w:rPr>
        <w:t>77</w:t>
      </w:r>
      <w:r w:rsidRPr="00AB1C80">
        <w:rPr>
          <w:rFonts w:cs="Arial"/>
          <w:b/>
          <w:color w:val="000000" w:themeColor="text1"/>
          <w:szCs w:val="24"/>
        </w:rPr>
        <w:t>)</w:t>
      </w:r>
      <w:r w:rsidRPr="00AB1C80">
        <w:rPr>
          <w:rFonts w:cs="Arial"/>
          <w:color w:val="000000" w:themeColor="text1"/>
          <w:szCs w:val="24"/>
        </w:rPr>
        <w:t xml:space="preserve"> documentos, mediante un formato estándar (ver, </w:t>
      </w:r>
      <w:r w:rsidRPr="00AB1C80">
        <w:rPr>
          <w:rFonts w:cs="Arial"/>
          <w:b/>
          <w:color w:val="000000" w:themeColor="text1"/>
          <w:szCs w:val="24"/>
        </w:rPr>
        <w:fldChar w:fldCharType="begin"/>
      </w:r>
      <w:r w:rsidRPr="00AB1C80">
        <w:rPr>
          <w:rFonts w:cs="Arial"/>
          <w:b/>
          <w:color w:val="000000" w:themeColor="text1"/>
          <w:szCs w:val="24"/>
        </w:rPr>
        <w:instrText xml:space="preserve"> REF _Ref55203648 \h  \* MERGEFORMAT </w:instrText>
      </w:r>
      <w:r w:rsidRPr="00AB1C80">
        <w:rPr>
          <w:rFonts w:cs="Arial"/>
          <w:b/>
          <w:color w:val="000000" w:themeColor="text1"/>
          <w:szCs w:val="24"/>
        </w:rPr>
      </w:r>
      <w:r w:rsidRPr="00AB1C80">
        <w:rPr>
          <w:rFonts w:cs="Arial"/>
          <w:b/>
          <w:color w:val="000000" w:themeColor="text1"/>
          <w:szCs w:val="24"/>
        </w:rPr>
        <w:fldChar w:fldCharType="separate"/>
      </w:r>
      <w:r w:rsidR="00AB1C80" w:rsidRPr="00AB1C80">
        <w:rPr>
          <w:rFonts w:cs="Arial"/>
          <w:b/>
          <w:color w:val="000000" w:themeColor="text1"/>
          <w:szCs w:val="24"/>
        </w:rPr>
        <w:t>Figura 2</w:t>
      </w:r>
      <w:r w:rsidRPr="00AB1C80">
        <w:rPr>
          <w:rFonts w:cs="Arial"/>
          <w:b/>
          <w:color w:val="000000" w:themeColor="text1"/>
          <w:szCs w:val="24"/>
        </w:rPr>
        <w:fldChar w:fldCharType="end"/>
      </w:r>
      <w:r w:rsidRPr="00AB1C80">
        <w:rPr>
          <w:rFonts w:cs="Arial"/>
          <w:b/>
          <w:color w:val="000000" w:themeColor="text1"/>
          <w:szCs w:val="24"/>
        </w:rPr>
        <w:t xml:space="preserve"> </w:t>
      </w:r>
      <w:r w:rsidRPr="00AB1C80">
        <w:rPr>
          <w:rFonts w:cs="Arial"/>
          <w:color w:val="000000" w:themeColor="text1"/>
          <w:szCs w:val="24"/>
        </w:rPr>
        <w:t>y</w:t>
      </w:r>
      <w:r w:rsidR="000875AD" w:rsidRPr="00AB1C80">
        <w:rPr>
          <w:rFonts w:cs="Arial"/>
          <w:color w:val="000000" w:themeColor="text1"/>
          <w:szCs w:val="24"/>
        </w:rPr>
        <w:t xml:space="preserve"> </w:t>
      </w:r>
      <w:r w:rsidR="000875AD" w:rsidRPr="00AB1C80">
        <w:rPr>
          <w:rFonts w:cs="Arial"/>
          <w:color w:val="000000" w:themeColor="text1"/>
          <w:szCs w:val="24"/>
        </w:rPr>
        <w:fldChar w:fldCharType="begin"/>
      </w:r>
      <w:r w:rsidR="000875AD" w:rsidRPr="00AB1C80">
        <w:rPr>
          <w:rFonts w:cs="Arial"/>
          <w:color w:val="000000" w:themeColor="text1"/>
          <w:szCs w:val="24"/>
        </w:rPr>
        <w:instrText xml:space="preserve"> REF _Ref86148351 \h  \* MERGEFORMAT </w:instrText>
      </w:r>
      <w:r w:rsidR="000875AD" w:rsidRPr="00AB1C80">
        <w:rPr>
          <w:rFonts w:cs="Arial"/>
          <w:color w:val="000000" w:themeColor="text1"/>
          <w:szCs w:val="24"/>
        </w:rPr>
      </w:r>
      <w:r w:rsidR="000875AD" w:rsidRPr="00AB1C80">
        <w:rPr>
          <w:rFonts w:cs="Arial"/>
          <w:color w:val="000000" w:themeColor="text1"/>
          <w:szCs w:val="24"/>
        </w:rPr>
        <w:fldChar w:fldCharType="separate"/>
      </w:r>
      <w:r w:rsidR="00AB1C80" w:rsidRPr="00AB1C80">
        <w:rPr>
          <w:rFonts w:cs="Arial"/>
          <w:b/>
          <w:bCs/>
        </w:rPr>
        <w:t xml:space="preserve">Figura </w:t>
      </w:r>
      <w:r w:rsidR="00AB1C80" w:rsidRPr="00AB1C80">
        <w:rPr>
          <w:rFonts w:cs="Arial"/>
          <w:b/>
          <w:bCs/>
          <w:noProof/>
        </w:rPr>
        <w:t>3</w:t>
      </w:r>
      <w:r w:rsidR="000875AD" w:rsidRPr="00AB1C80">
        <w:rPr>
          <w:rFonts w:cs="Arial"/>
          <w:color w:val="000000" w:themeColor="text1"/>
          <w:szCs w:val="24"/>
        </w:rPr>
        <w:fldChar w:fldCharType="end"/>
      </w:r>
      <w:r w:rsidRPr="00AB1C80">
        <w:rPr>
          <w:rFonts w:cs="Arial"/>
          <w:color w:val="000000" w:themeColor="text1"/>
          <w:szCs w:val="24"/>
        </w:rPr>
        <w:t xml:space="preserve">). Este formato permite identificar para cada </w:t>
      </w:r>
      <w:r w:rsidR="000875AD" w:rsidRPr="00AB1C80">
        <w:rPr>
          <w:rFonts w:cs="Arial"/>
          <w:color w:val="000000" w:themeColor="text1"/>
          <w:szCs w:val="24"/>
        </w:rPr>
        <w:t>documento</w:t>
      </w:r>
      <w:r w:rsidRPr="00AB1C80">
        <w:rPr>
          <w:rFonts w:cs="Arial"/>
          <w:color w:val="000000" w:themeColor="text1"/>
          <w:szCs w:val="24"/>
        </w:rPr>
        <w:t>, aspectos de interés sobre el proyecto y las temáticas que se podrían considerar en la construcción de los lineamientos.</w:t>
      </w:r>
    </w:p>
    <w:p w14:paraId="38FC7ECB" w14:textId="77777777" w:rsidR="00BB412E" w:rsidRPr="00AB1C80" w:rsidRDefault="00BB412E" w:rsidP="00AB1C80">
      <w:pPr>
        <w:spacing w:line="276" w:lineRule="auto"/>
        <w:rPr>
          <w:rFonts w:cs="Arial"/>
          <w:color w:val="000000" w:themeColor="text1"/>
          <w:szCs w:val="24"/>
        </w:rPr>
      </w:pPr>
    </w:p>
    <w:p w14:paraId="7B6824DD" w14:textId="670878B4" w:rsidR="00E61A82" w:rsidRPr="00AB1C80" w:rsidRDefault="00BB412E" w:rsidP="00AB1C80">
      <w:pPr>
        <w:spacing w:line="276" w:lineRule="auto"/>
        <w:rPr>
          <w:rFonts w:cs="Arial"/>
          <w:color w:val="000000" w:themeColor="text1"/>
          <w:szCs w:val="24"/>
        </w:rPr>
      </w:pPr>
      <w:r w:rsidRPr="00AB1C80">
        <w:rPr>
          <w:rFonts w:cs="Arial"/>
          <w:color w:val="000000" w:themeColor="text1"/>
          <w:szCs w:val="24"/>
        </w:rPr>
        <w:t>El presente documento y sus anexos muestran la información de los documentos seleccionados por los profesionales de la consultoría como de mayor relevancia y aplicación para el proyecto, los criterios mínimos tenidos en cuenta en los aspectos importantes del formato son los mencionados en el anexo técnico.</w:t>
      </w:r>
    </w:p>
    <w:p w14:paraId="0594D3AE" w14:textId="78ABABFF" w:rsidR="00BB412E" w:rsidRPr="00AB1C80" w:rsidRDefault="00BB412E" w:rsidP="00AB1C80">
      <w:pPr>
        <w:spacing w:line="276" w:lineRule="auto"/>
        <w:rPr>
          <w:rFonts w:cs="Arial"/>
          <w:color w:val="000000" w:themeColor="text1"/>
          <w:szCs w:val="24"/>
        </w:rPr>
      </w:pPr>
    </w:p>
    <w:p w14:paraId="6CF24EDE" w14:textId="35F07DC5" w:rsidR="00B460DA" w:rsidRPr="00AB1C80" w:rsidRDefault="009B6171" w:rsidP="00AB1C80">
      <w:pPr>
        <w:spacing w:line="276" w:lineRule="auto"/>
        <w:jc w:val="center"/>
        <w:rPr>
          <w:rFonts w:cs="Arial"/>
          <w:color w:val="000000" w:themeColor="text1"/>
          <w:szCs w:val="24"/>
        </w:rPr>
      </w:pPr>
      <w:r w:rsidRPr="00AB1C80">
        <w:rPr>
          <w:rFonts w:cs="Arial"/>
          <w:noProof/>
        </w:rPr>
        <w:drawing>
          <wp:inline distT="0" distB="0" distL="0" distR="0" wp14:anchorId="029783E6" wp14:editId="329FC25F">
            <wp:extent cx="5612130" cy="3249930"/>
            <wp:effectExtent l="19050" t="19050" r="26670" b="26670"/>
            <wp:docPr id="2" name="Imagen 2"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Mapa&#10;&#10;Descripción generada automáticamente"/>
                    <pic:cNvPicPr/>
                  </pic:nvPicPr>
                  <pic:blipFill>
                    <a:blip r:embed="rId8"/>
                    <a:stretch>
                      <a:fillRect/>
                    </a:stretch>
                  </pic:blipFill>
                  <pic:spPr>
                    <a:xfrm>
                      <a:off x="0" y="0"/>
                      <a:ext cx="5612130" cy="3249930"/>
                    </a:xfrm>
                    <a:prstGeom prst="rect">
                      <a:avLst/>
                    </a:prstGeom>
                    <a:ln w="19050">
                      <a:solidFill>
                        <a:schemeClr val="accent5">
                          <a:lumMod val="50000"/>
                        </a:schemeClr>
                      </a:solidFill>
                    </a:ln>
                  </pic:spPr>
                </pic:pic>
              </a:graphicData>
            </a:graphic>
          </wp:inline>
        </w:drawing>
      </w:r>
    </w:p>
    <w:p w14:paraId="74778F8E" w14:textId="61A279AA" w:rsidR="00B460DA" w:rsidRPr="00AB1C80" w:rsidRDefault="00B460DA" w:rsidP="00AB1C80">
      <w:pPr>
        <w:pStyle w:val="FigurayTabla"/>
        <w:spacing w:line="276" w:lineRule="auto"/>
        <w:rPr>
          <w:rFonts w:cs="Arial"/>
          <w:lang w:val="es-CO"/>
        </w:rPr>
      </w:pPr>
      <w:bookmarkStart w:id="3" w:name="_Ref50646147"/>
      <w:bookmarkStart w:id="4" w:name="_Toc50653605"/>
      <w:bookmarkStart w:id="5" w:name="_Toc50615497"/>
      <w:bookmarkStart w:id="6" w:name="_Toc57372252"/>
      <w:bookmarkStart w:id="7" w:name="_Toc86332998"/>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1</w:t>
      </w:r>
      <w:r w:rsidRPr="00AB1C80">
        <w:rPr>
          <w:rFonts w:cs="Arial"/>
          <w:lang w:val="es-CO"/>
        </w:rPr>
        <w:fldChar w:fldCharType="end"/>
      </w:r>
      <w:bookmarkEnd w:id="3"/>
      <w:r w:rsidRPr="00AB1C80">
        <w:rPr>
          <w:rFonts w:cs="Arial"/>
          <w:lang w:val="es-CO"/>
        </w:rPr>
        <w:t>. Origen de la documentación técnica y normativa analizada.</w:t>
      </w:r>
      <w:bookmarkEnd w:id="4"/>
      <w:bookmarkEnd w:id="5"/>
      <w:bookmarkEnd w:id="6"/>
      <w:bookmarkEnd w:id="7"/>
    </w:p>
    <w:p w14:paraId="7EBA6905" w14:textId="48B0E22C" w:rsidR="00B460DA" w:rsidRPr="00AB1C80" w:rsidRDefault="00B460DA" w:rsidP="00AB1C80">
      <w:pPr>
        <w:pStyle w:val="Fuente"/>
        <w:spacing w:line="276" w:lineRule="auto"/>
        <w:rPr>
          <w:rFonts w:cs="Arial"/>
          <w:szCs w:val="24"/>
          <w:lang w:val="es-CO"/>
        </w:rPr>
      </w:pPr>
      <w:r w:rsidRPr="00AB1C80">
        <w:rPr>
          <w:rFonts w:cs="Arial"/>
          <w:lang w:val="es-CO"/>
        </w:rPr>
        <w:t>Fuente: ATG Ltda., 202</w:t>
      </w:r>
      <w:r w:rsidR="00B062E4" w:rsidRPr="00AB1C80">
        <w:rPr>
          <w:rFonts w:cs="Arial"/>
          <w:lang w:val="es-CO"/>
        </w:rPr>
        <w:t>1</w:t>
      </w:r>
      <w:r w:rsidRPr="00AB1C80">
        <w:rPr>
          <w:rFonts w:cs="Arial"/>
          <w:lang w:val="es-CO"/>
        </w:rPr>
        <w:t>.</w:t>
      </w:r>
    </w:p>
    <w:p w14:paraId="7000877A" w14:textId="77777777" w:rsidR="00B460DA" w:rsidRPr="00AB1C80" w:rsidRDefault="00B460DA" w:rsidP="00AB1C80">
      <w:pPr>
        <w:spacing w:line="276" w:lineRule="auto"/>
        <w:rPr>
          <w:rFonts w:cs="Arial"/>
          <w:color w:val="000000" w:themeColor="text1"/>
          <w:szCs w:val="24"/>
        </w:rPr>
      </w:pPr>
    </w:p>
    <w:p w14:paraId="12163FA6" w14:textId="76D75444" w:rsidR="00BB412E" w:rsidRPr="00AB1C80" w:rsidRDefault="006D4AE7" w:rsidP="00AB1C80">
      <w:pPr>
        <w:spacing w:line="276" w:lineRule="auto"/>
        <w:jc w:val="center"/>
        <w:rPr>
          <w:rFonts w:cs="Arial"/>
          <w:color w:val="000000" w:themeColor="text1"/>
          <w:szCs w:val="24"/>
        </w:rPr>
      </w:pPr>
      <w:r w:rsidRPr="00AB1C80">
        <w:rPr>
          <w:rFonts w:cs="Arial"/>
          <w:noProof/>
        </w:rPr>
        <w:lastRenderedPageBreak/>
        <w:drawing>
          <wp:inline distT="0" distB="0" distL="0" distR="0" wp14:anchorId="3DC8B761" wp14:editId="19618871">
            <wp:extent cx="5612130" cy="5324475"/>
            <wp:effectExtent l="19050" t="19050" r="26670" b="28575"/>
            <wp:docPr id="5" name="Imagen 5"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abla&#10;&#10;Descripción generada automáticamente con confianza baja"/>
                    <pic:cNvPicPr/>
                  </pic:nvPicPr>
                  <pic:blipFill>
                    <a:blip r:embed="rId9"/>
                    <a:stretch>
                      <a:fillRect/>
                    </a:stretch>
                  </pic:blipFill>
                  <pic:spPr>
                    <a:xfrm>
                      <a:off x="0" y="0"/>
                      <a:ext cx="5612130" cy="5324475"/>
                    </a:xfrm>
                    <a:prstGeom prst="rect">
                      <a:avLst/>
                    </a:prstGeom>
                    <a:ln w="19050">
                      <a:solidFill>
                        <a:schemeClr val="accent5">
                          <a:lumMod val="50000"/>
                        </a:schemeClr>
                      </a:solidFill>
                    </a:ln>
                  </pic:spPr>
                </pic:pic>
              </a:graphicData>
            </a:graphic>
          </wp:inline>
        </w:drawing>
      </w:r>
    </w:p>
    <w:p w14:paraId="296CC906" w14:textId="08A38EB6" w:rsidR="00B460DA" w:rsidRPr="00AB1C80" w:rsidRDefault="00B460DA" w:rsidP="00AB1C80">
      <w:pPr>
        <w:pStyle w:val="FigurayTabla"/>
        <w:spacing w:line="276" w:lineRule="auto"/>
        <w:rPr>
          <w:rFonts w:cs="Arial"/>
          <w:lang w:val="es-CO"/>
        </w:rPr>
      </w:pPr>
      <w:bookmarkStart w:id="8" w:name="_Ref55203648"/>
      <w:bookmarkStart w:id="9" w:name="_Toc57372253"/>
      <w:bookmarkStart w:id="10" w:name="_Toc86332999"/>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2</w:t>
      </w:r>
      <w:r w:rsidRPr="00AB1C80">
        <w:rPr>
          <w:rFonts w:cs="Arial"/>
          <w:lang w:val="es-CO"/>
        </w:rPr>
        <w:fldChar w:fldCharType="end"/>
      </w:r>
      <w:bookmarkEnd w:id="8"/>
      <w:r w:rsidRPr="00AB1C80">
        <w:rPr>
          <w:rFonts w:cs="Arial"/>
          <w:lang w:val="es-CO"/>
        </w:rPr>
        <w:t>. Formato de recolección de información para gestión y manejo de estériles mineros.</w:t>
      </w:r>
      <w:bookmarkEnd w:id="9"/>
      <w:bookmarkEnd w:id="10"/>
    </w:p>
    <w:p w14:paraId="4D68C34B" w14:textId="77949A01" w:rsidR="00B460DA" w:rsidRPr="00AB1C80" w:rsidRDefault="00B460DA" w:rsidP="00AB1C80">
      <w:pPr>
        <w:pStyle w:val="Fuente"/>
        <w:spacing w:line="276" w:lineRule="auto"/>
        <w:rPr>
          <w:rFonts w:cs="Arial"/>
          <w:lang w:val="es-CO"/>
        </w:rPr>
      </w:pPr>
      <w:r w:rsidRPr="00AB1C80">
        <w:rPr>
          <w:rFonts w:cs="Arial"/>
          <w:lang w:val="es-CO"/>
        </w:rPr>
        <w:t>Fuente: ATG Ltda., 2021.</w:t>
      </w:r>
    </w:p>
    <w:p w14:paraId="3DEC7957" w14:textId="3D5CF1A7" w:rsidR="00B460DA" w:rsidRPr="00AB1C80" w:rsidRDefault="00B460DA" w:rsidP="00AB1C80">
      <w:pPr>
        <w:spacing w:line="276" w:lineRule="auto"/>
        <w:jc w:val="center"/>
        <w:rPr>
          <w:rFonts w:cs="Arial"/>
          <w:color w:val="000000" w:themeColor="text1"/>
          <w:szCs w:val="24"/>
        </w:rPr>
      </w:pPr>
    </w:p>
    <w:p w14:paraId="31AF74DA" w14:textId="278EF7BD" w:rsidR="00B460DA" w:rsidRPr="00AB1C80" w:rsidRDefault="006D4AE7" w:rsidP="00AB1C80">
      <w:pPr>
        <w:spacing w:line="276" w:lineRule="auto"/>
        <w:jc w:val="center"/>
        <w:rPr>
          <w:rFonts w:cs="Arial"/>
          <w:color w:val="000000" w:themeColor="text1"/>
          <w:szCs w:val="24"/>
        </w:rPr>
      </w:pPr>
      <w:r w:rsidRPr="00AB1C80">
        <w:rPr>
          <w:rFonts w:cs="Arial"/>
          <w:noProof/>
          <w:color w:val="000000" w:themeColor="text1"/>
          <w:szCs w:val="24"/>
        </w:rPr>
        <w:lastRenderedPageBreak/>
        <w:drawing>
          <wp:inline distT="0" distB="0" distL="0" distR="0" wp14:anchorId="42DFB46C" wp14:editId="7B97F1E6">
            <wp:extent cx="5486400" cy="4754880"/>
            <wp:effectExtent l="19050" t="19050" r="19050" b="266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6400" cy="4754880"/>
                    </a:xfrm>
                    <a:prstGeom prst="rect">
                      <a:avLst/>
                    </a:prstGeom>
                    <a:noFill/>
                    <a:ln w="19050">
                      <a:solidFill>
                        <a:schemeClr val="accent5">
                          <a:lumMod val="50000"/>
                        </a:schemeClr>
                      </a:solidFill>
                    </a:ln>
                  </pic:spPr>
                </pic:pic>
              </a:graphicData>
            </a:graphic>
          </wp:inline>
        </w:drawing>
      </w:r>
    </w:p>
    <w:p w14:paraId="3133EE77" w14:textId="4BDA5AD3" w:rsidR="00B460DA" w:rsidRPr="00AB1C80" w:rsidRDefault="00B460DA" w:rsidP="00AB1C80">
      <w:pPr>
        <w:pStyle w:val="FigurayTabla"/>
        <w:spacing w:line="276" w:lineRule="auto"/>
        <w:rPr>
          <w:rFonts w:cs="Arial"/>
          <w:lang w:val="es-CO"/>
        </w:rPr>
      </w:pPr>
      <w:bookmarkStart w:id="11" w:name="_Ref86148351"/>
      <w:bookmarkStart w:id="12" w:name="_Toc86333000"/>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3</w:t>
      </w:r>
      <w:r w:rsidRPr="00AB1C80">
        <w:rPr>
          <w:rFonts w:cs="Arial"/>
          <w:lang w:val="es-CO"/>
        </w:rPr>
        <w:fldChar w:fldCharType="end"/>
      </w:r>
      <w:bookmarkEnd w:id="11"/>
      <w:r w:rsidRPr="00AB1C80">
        <w:rPr>
          <w:rFonts w:cs="Arial"/>
          <w:lang w:val="es-CO"/>
        </w:rPr>
        <w:t>. Formato de recolección de información para economía circular.</w:t>
      </w:r>
      <w:bookmarkEnd w:id="12"/>
    </w:p>
    <w:p w14:paraId="609633BC" w14:textId="305012A3" w:rsidR="00B460DA" w:rsidRPr="00AB1C80" w:rsidRDefault="00B460DA" w:rsidP="00AB1C80">
      <w:pPr>
        <w:pStyle w:val="Fuente"/>
        <w:spacing w:line="276" w:lineRule="auto"/>
        <w:rPr>
          <w:rFonts w:cs="Arial"/>
          <w:szCs w:val="24"/>
          <w:lang w:val="es-CO"/>
        </w:rPr>
      </w:pPr>
      <w:r w:rsidRPr="00AB1C80">
        <w:rPr>
          <w:rFonts w:cs="Arial"/>
          <w:lang w:val="es-CO"/>
        </w:rPr>
        <w:t>Fuente: ATG Ltda., 2021.</w:t>
      </w:r>
    </w:p>
    <w:p w14:paraId="136293A0" w14:textId="77777777" w:rsidR="00B460DA" w:rsidRPr="00AB1C80" w:rsidRDefault="00B460DA" w:rsidP="00AB1C80">
      <w:pPr>
        <w:spacing w:line="276" w:lineRule="auto"/>
        <w:jc w:val="center"/>
        <w:rPr>
          <w:rFonts w:cs="Arial"/>
          <w:color w:val="000000" w:themeColor="text1"/>
          <w:szCs w:val="24"/>
        </w:rPr>
      </w:pPr>
    </w:p>
    <w:p w14:paraId="0786643C" w14:textId="606E553B" w:rsidR="00E61A82" w:rsidRPr="00AB1C80" w:rsidRDefault="00E61A82" w:rsidP="00AB1C80">
      <w:pPr>
        <w:pStyle w:val="Ttulo2"/>
        <w:spacing w:line="276" w:lineRule="auto"/>
        <w:rPr>
          <w:rFonts w:cs="Arial"/>
        </w:rPr>
      </w:pPr>
      <w:bookmarkStart w:id="13" w:name="_Toc86332912"/>
      <w:r w:rsidRPr="00AB1C80">
        <w:rPr>
          <w:rFonts w:cs="Arial"/>
        </w:rPr>
        <w:t>Segunda fase (información primaria)</w:t>
      </w:r>
      <w:bookmarkEnd w:id="13"/>
    </w:p>
    <w:p w14:paraId="03C89C8B" w14:textId="55DB0D02" w:rsidR="00E61A82" w:rsidRPr="00AB1C80" w:rsidRDefault="00E61A82" w:rsidP="00AB1C80">
      <w:pPr>
        <w:spacing w:line="276" w:lineRule="auto"/>
        <w:rPr>
          <w:rFonts w:cs="Arial"/>
          <w:color w:val="000000" w:themeColor="text1"/>
        </w:rPr>
      </w:pPr>
    </w:p>
    <w:p w14:paraId="4325C753" w14:textId="77777777" w:rsidR="002B6DE6" w:rsidRPr="00AB1C80" w:rsidRDefault="002B6DE6" w:rsidP="00AB1C80">
      <w:pPr>
        <w:spacing w:line="276" w:lineRule="auto"/>
        <w:rPr>
          <w:rFonts w:cs="Arial"/>
          <w:color w:val="000000" w:themeColor="text1"/>
          <w:szCs w:val="24"/>
        </w:rPr>
      </w:pPr>
      <w:r w:rsidRPr="00AB1C80">
        <w:rPr>
          <w:rFonts w:cs="Arial"/>
          <w:color w:val="000000" w:themeColor="text1"/>
          <w:szCs w:val="24"/>
        </w:rPr>
        <w:t>La segunda fase metodológica, corresponde a la recolección de información de fuentes primarias, mediante el desarrollo de mínimo seis (6) reuniones con empresas mineras y seis (6) mesas de trabajo con actores del sector (organizaciones, academia, entidades del sector público y privado) (</w:t>
      </w:r>
      <w:r w:rsidRPr="00AB1C80">
        <w:rPr>
          <w:rFonts w:cs="Arial"/>
          <w:b/>
          <w:color w:val="000000" w:themeColor="text1"/>
          <w:szCs w:val="24"/>
        </w:rPr>
        <w:t>Anexos 2 y 3</w:t>
      </w:r>
      <w:r w:rsidRPr="00AB1C80">
        <w:rPr>
          <w:rFonts w:cs="Arial"/>
          <w:color w:val="000000" w:themeColor="text1"/>
          <w:szCs w:val="24"/>
        </w:rPr>
        <w:t>),</w:t>
      </w:r>
      <w:r w:rsidRPr="00AB1C80">
        <w:rPr>
          <w:rFonts w:cs="Arial"/>
          <w:szCs w:val="24"/>
        </w:rPr>
        <w:t xml:space="preserve"> generando espacios para que los participantes pudieran retroalimentar al equipo consultor de ATG Ltda.,</w:t>
      </w:r>
      <w:r w:rsidRPr="00AB1C80">
        <w:rPr>
          <w:rFonts w:cs="Arial"/>
          <w:color w:val="000000" w:themeColor="text1"/>
          <w:szCs w:val="24"/>
        </w:rPr>
        <w:t xml:space="preserve"> logrando interacción e intercambio de información y experiencias. </w:t>
      </w:r>
      <w:r w:rsidRPr="00AB1C80">
        <w:rPr>
          <w:rFonts w:cs="Arial"/>
        </w:rPr>
        <w:t xml:space="preserve">La selección e invitación de los participantes de las reuniones y mesas de trabajo se realizó conjuntamente entre ATG Ltda. y la Supervisión del </w:t>
      </w:r>
      <w:r w:rsidRPr="00AB1C80">
        <w:rPr>
          <w:rFonts w:cs="Arial"/>
          <w:color w:val="000000" w:themeColor="text1"/>
          <w:szCs w:val="24"/>
        </w:rPr>
        <w:t xml:space="preserve">Ministerio de Minas y Energía (Dirección de Minería Empresarial). </w:t>
      </w:r>
    </w:p>
    <w:p w14:paraId="1B5C9239" w14:textId="77777777" w:rsidR="002B6DE6" w:rsidRPr="00AB1C80" w:rsidRDefault="002B6DE6" w:rsidP="00AB1C80">
      <w:pPr>
        <w:spacing w:line="276" w:lineRule="auto"/>
        <w:rPr>
          <w:rFonts w:cs="Arial"/>
          <w:color w:val="000000" w:themeColor="text1"/>
          <w:szCs w:val="24"/>
        </w:rPr>
      </w:pPr>
    </w:p>
    <w:p w14:paraId="49624ABB" w14:textId="77777777" w:rsidR="002B6DE6" w:rsidRPr="00AB1C80" w:rsidRDefault="002B6DE6" w:rsidP="00AB1C80">
      <w:pPr>
        <w:spacing w:line="276" w:lineRule="auto"/>
        <w:rPr>
          <w:rFonts w:cs="Arial"/>
          <w:color w:val="000000" w:themeColor="text1"/>
          <w:szCs w:val="24"/>
        </w:rPr>
      </w:pPr>
      <w:r w:rsidRPr="00AB1C80">
        <w:rPr>
          <w:rFonts w:cs="Arial"/>
          <w:color w:val="000000" w:themeColor="text1"/>
          <w:szCs w:val="24"/>
        </w:rPr>
        <w:lastRenderedPageBreak/>
        <w:t xml:space="preserve">Las empresas mineras seleccionadas para el desarrollo de las reuniones se eligieron a partir de su experiencia y conocimiento respecto al manejo y gestión en procesos y proyectos relacionados con gestión y manejo de estériles y economía circular, según lo establecido en el anexo técnico del proyecto. </w:t>
      </w:r>
    </w:p>
    <w:p w14:paraId="5AD9C059" w14:textId="77777777" w:rsidR="002B6DE6" w:rsidRPr="00AB1C80" w:rsidRDefault="002B6DE6" w:rsidP="00AB1C80">
      <w:pPr>
        <w:spacing w:line="276" w:lineRule="auto"/>
        <w:rPr>
          <w:rFonts w:cs="Arial"/>
          <w:color w:val="000000" w:themeColor="text1"/>
          <w:szCs w:val="24"/>
        </w:rPr>
      </w:pPr>
    </w:p>
    <w:p w14:paraId="6EB4FD0E" w14:textId="6922C945" w:rsidR="002B6DE6" w:rsidRPr="00AB1C80" w:rsidRDefault="002B6DE6" w:rsidP="00AB1C80">
      <w:pPr>
        <w:pStyle w:val="FigurayTabla"/>
        <w:spacing w:line="276" w:lineRule="auto"/>
        <w:rPr>
          <w:rFonts w:eastAsia="Calibri" w:cs="Arial"/>
          <w:szCs w:val="24"/>
          <w:lang w:val="es-CO"/>
        </w:rPr>
      </w:pPr>
      <w:bookmarkStart w:id="14" w:name="_Ref80298082"/>
      <w:bookmarkStart w:id="15" w:name="_Toc86333006"/>
      <w:r w:rsidRPr="00AB1C80">
        <w:rPr>
          <w:rFonts w:eastAsia="Calibri" w:cs="Arial"/>
          <w:lang w:val="es-CO"/>
        </w:rPr>
        <w:t xml:space="preserve">Tabla </w:t>
      </w:r>
      <w:r w:rsidRPr="00AB1C80">
        <w:rPr>
          <w:rFonts w:eastAsia="Calibri" w:cs="Arial"/>
          <w:lang w:val="es-CO"/>
        </w:rPr>
        <w:fldChar w:fldCharType="begin"/>
      </w:r>
      <w:r w:rsidRPr="00AB1C80">
        <w:rPr>
          <w:rFonts w:eastAsia="Calibri" w:cs="Arial"/>
          <w:lang w:val="es-CO"/>
        </w:rPr>
        <w:instrText xml:space="preserve"> SEQ Tabla \* ARABIC </w:instrText>
      </w:r>
      <w:r w:rsidRPr="00AB1C80">
        <w:rPr>
          <w:rFonts w:eastAsia="Calibri" w:cs="Arial"/>
          <w:lang w:val="es-CO"/>
        </w:rPr>
        <w:fldChar w:fldCharType="separate"/>
      </w:r>
      <w:r w:rsidR="00AB1C80">
        <w:rPr>
          <w:rFonts w:eastAsia="Calibri" w:cs="Arial"/>
          <w:noProof/>
          <w:lang w:val="es-CO"/>
        </w:rPr>
        <w:t>1</w:t>
      </w:r>
      <w:r w:rsidRPr="00AB1C80">
        <w:rPr>
          <w:rFonts w:eastAsia="Calibri" w:cs="Arial"/>
          <w:lang w:val="es-CO"/>
        </w:rPr>
        <w:fldChar w:fldCharType="end"/>
      </w:r>
      <w:bookmarkEnd w:id="14"/>
      <w:r w:rsidRPr="00AB1C80">
        <w:rPr>
          <w:rFonts w:eastAsia="Calibri" w:cs="Arial"/>
          <w:lang w:val="es-CO"/>
        </w:rPr>
        <w:t>. Empresas mineras recomendadas por el Ministerio de Minas y Energía.</w:t>
      </w:r>
      <w:bookmarkEnd w:id="15"/>
    </w:p>
    <w:tbl>
      <w:tblPr>
        <w:tblW w:w="5588" w:type="dxa"/>
        <w:jc w:val="center"/>
        <w:tblBorders>
          <w:top w:val="single" w:sz="12" w:space="0" w:color="1E345C"/>
          <w:left w:val="single" w:sz="12" w:space="0" w:color="1E345C"/>
          <w:bottom w:val="single" w:sz="12" w:space="0" w:color="1E345C"/>
          <w:right w:val="single" w:sz="12" w:space="0" w:color="1E345C"/>
          <w:insideH w:val="single" w:sz="12" w:space="0" w:color="1E345C"/>
          <w:insideV w:val="single" w:sz="12" w:space="0" w:color="1E345C"/>
        </w:tblBorders>
        <w:tblLook w:val="04A0" w:firstRow="1" w:lastRow="0" w:firstColumn="1" w:lastColumn="0" w:noHBand="0" w:noVBand="1"/>
      </w:tblPr>
      <w:tblGrid>
        <w:gridCol w:w="2140"/>
        <w:gridCol w:w="3448"/>
      </w:tblGrid>
      <w:tr w:rsidR="002B6DE6" w:rsidRPr="00AB1C80" w14:paraId="7B58C0C3" w14:textId="77777777" w:rsidTr="00B555DB">
        <w:trPr>
          <w:trHeight w:val="240"/>
          <w:jc w:val="center"/>
        </w:trPr>
        <w:tc>
          <w:tcPr>
            <w:tcW w:w="5588" w:type="dxa"/>
            <w:gridSpan w:val="2"/>
            <w:shd w:val="clear" w:color="auto" w:fill="223B68"/>
            <w:noWrap/>
            <w:vAlign w:val="center"/>
            <w:hideMark/>
          </w:tcPr>
          <w:p w14:paraId="305D036A" w14:textId="77777777" w:rsidR="002B6DE6" w:rsidRPr="00AB1C80" w:rsidRDefault="002B6DE6"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EMPRESAS MINERAS</w:t>
            </w:r>
          </w:p>
        </w:tc>
      </w:tr>
      <w:tr w:rsidR="002B6DE6" w:rsidRPr="00AB1C80" w14:paraId="5079F1CB" w14:textId="77777777" w:rsidTr="00B555DB">
        <w:trPr>
          <w:trHeight w:val="240"/>
          <w:jc w:val="center"/>
        </w:trPr>
        <w:tc>
          <w:tcPr>
            <w:tcW w:w="2140" w:type="dxa"/>
            <w:shd w:val="clear" w:color="auto" w:fill="223B68"/>
            <w:noWrap/>
            <w:vAlign w:val="center"/>
            <w:hideMark/>
          </w:tcPr>
          <w:p w14:paraId="16E7EF14" w14:textId="77777777" w:rsidR="002B6DE6" w:rsidRPr="00AB1C80" w:rsidRDefault="002B6DE6"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Departamento</w:t>
            </w:r>
          </w:p>
        </w:tc>
        <w:tc>
          <w:tcPr>
            <w:tcW w:w="3448" w:type="dxa"/>
            <w:shd w:val="clear" w:color="auto" w:fill="223B68"/>
            <w:noWrap/>
            <w:vAlign w:val="center"/>
            <w:hideMark/>
          </w:tcPr>
          <w:p w14:paraId="5ACB9E04" w14:textId="77777777" w:rsidR="002B6DE6" w:rsidRPr="00AB1C80" w:rsidRDefault="002B6DE6"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Empresa</w:t>
            </w:r>
          </w:p>
        </w:tc>
      </w:tr>
      <w:tr w:rsidR="002B6DE6" w:rsidRPr="00AB1C80" w14:paraId="6D9C845E" w14:textId="77777777" w:rsidTr="00B555DB">
        <w:trPr>
          <w:trHeight w:val="240"/>
          <w:jc w:val="center"/>
        </w:trPr>
        <w:tc>
          <w:tcPr>
            <w:tcW w:w="2140" w:type="dxa"/>
            <w:shd w:val="clear" w:color="auto" w:fill="auto"/>
            <w:noWrap/>
            <w:vAlign w:val="center"/>
            <w:hideMark/>
          </w:tcPr>
          <w:p w14:paraId="713DD9A0"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hideMark/>
          </w:tcPr>
          <w:p w14:paraId="6CD2CA01"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Mineros S.A.</w:t>
            </w:r>
          </w:p>
        </w:tc>
      </w:tr>
      <w:tr w:rsidR="002B6DE6" w:rsidRPr="00AB1C80" w14:paraId="5607ECD6" w14:textId="77777777" w:rsidTr="00B555DB">
        <w:trPr>
          <w:trHeight w:val="240"/>
          <w:jc w:val="center"/>
        </w:trPr>
        <w:tc>
          <w:tcPr>
            <w:tcW w:w="2140" w:type="dxa"/>
            <w:shd w:val="clear" w:color="auto" w:fill="auto"/>
            <w:noWrap/>
            <w:vAlign w:val="center"/>
            <w:hideMark/>
          </w:tcPr>
          <w:p w14:paraId="288EFBAB"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hideMark/>
          </w:tcPr>
          <w:p w14:paraId="105989CB"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 Gold</w:t>
            </w:r>
          </w:p>
        </w:tc>
      </w:tr>
      <w:tr w:rsidR="002B6DE6" w:rsidRPr="00AB1C80" w14:paraId="70E44007" w14:textId="77777777" w:rsidTr="00B555DB">
        <w:trPr>
          <w:trHeight w:val="240"/>
          <w:jc w:val="center"/>
        </w:trPr>
        <w:tc>
          <w:tcPr>
            <w:tcW w:w="2140" w:type="dxa"/>
            <w:shd w:val="clear" w:color="auto" w:fill="auto"/>
            <w:noWrap/>
            <w:vAlign w:val="center"/>
            <w:hideMark/>
          </w:tcPr>
          <w:p w14:paraId="0915C183"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hideMark/>
          </w:tcPr>
          <w:p w14:paraId="22AD640E"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Continental Gold</w:t>
            </w:r>
          </w:p>
        </w:tc>
      </w:tr>
      <w:tr w:rsidR="002B6DE6" w:rsidRPr="00AB1C80" w14:paraId="43FBB364" w14:textId="77777777" w:rsidTr="00B555DB">
        <w:trPr>
          <w:trHeight w:val="240"/>
          <w:jc w:val="center"/>
        </w:trPr>
        <w:tc>
          <w:tcPr>
            <w:tcW w:w="2140" w:type="dxa"/>
            <w:shd w:val="clear" w:color="auto" w:fill="auto"/>
            <w:noWrap/>
            <w:vAlign w:val="center"/>
            <w:hideMark/>
          </w:tcPr>
          <w:p w14:paraId="7F794FAA"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hideMark/>
          </w:tcPr>
          <w:p w14:paraId="6BF2282A"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Gran Colombia Gold</w:t>
            </w:r>
          </w:p>
        </w:tc>
      </w:tr>
      <w:tr w:rsidR="002B6DE6" w:rsidRPr="00AB1C80" w14:paraId="243EE003" w14:textId="77777777" w:rsidTr="00B555DB">
        <w:trPr>
          <w:trHeight w:val="240"/>
          <w:jc w:val="center"/>
        </w:trPr>
        <w:tc>
          <w:tcPr>
            <w:tcW w:w="2140" w:type="dxa"/>
            <w:shd w:val="clear" w:color="auto" w:fill="auto"/>
            <w:noWrap/>
          </w:tcPr>
          <w:p w14:paraId="2A1DDEF8"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tcPr>
          <w:p w14:paraId="56FF8930"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Cementos Argos</w:t>
            </w:r>
          </w:p>
        </w:tc>
      </w:tr>
      <w:tr w:rsidR="002B6DE6" w:rsidRPr="00AB1C80" w14:paraId="513D8F91" w14:textId="77777777" w:rsidTr="00B555DB">
        <w:trPr>
          <w:trHeight w:val="240"/>
          <w:jc w:val="center"/>
        </w:trPr>
        <w:tc>
          <w:tcPr>
            <w:tcW w:w="2140" w:type="dxa"/>
            <w:shd w:val="clear" w:color="auto" w:fill="auto"/>
            <w:noWrap/>
          </w:tcPr>
          <w:p w14:paraId="1B24AA4F"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Antioquia</w:t>
            </w:r>
          </w:p>
        </w:tc>
        <w:tc>
          <w:tcPr>
            <w:tcW w:w="3448" w:type="dxa"/>
            <w:shd w:val="clear" w:color="auto" w:fill="auto"/>
            <w:noWrap/>
            <w:vAlign w:val="center"/>
          </w:tcPr>
          <w:p w14:paraId="68A65CA8"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Sumicol S.A.</w:t>
            </w:r>
          </w:p>
        </w:tc>
      </w:tr>
      <w:tr w:rsidR="002B6DE6" w:rsidRPr="00AB1C80" w14:paraId="7F17AF9D" w14:textId="77777777" w:rsidTr="00B555DB">
        <w:trPr>
          <w:trHeight w:val="240"/>
          <w:jc w:val="center"/>
        </w:trPr>
        <w:tc>
          <w:tcPr>
            <w:tcW w:w="2140" w:type="dxa"/>
            <w:shd w:val="clear" w:color="auto" w:fill="auto"/>
            <w:noWrap/>
            <w:vAlign w:val="center"/>
          </w:tcPr>
          <w:p w14:paraId="41B99527"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Boyacá</w:t>
            </w:r>
          </w:p>
        </w:tc>
        <w:tc>
          <w:tcPr>
            <w:tcW w:w="3448" w:type="dxa"/>
            <w:shd w:val="clear" w:color="auto" w:fill="auto"/>
            <w:noWrap/>
            <w:vAlign w:val="center"/>
          </w:tcPr>
          <w:p w14:paraId="079BCD17"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C.I. Milpa S.A. - Uniminas</w:t>
            </w:r>
          </w:p>
        </w:tc>
      </w:tr>
      <w:tr w:rsidR="002B6DE6" w:rsidRPr="00AB1C80" w14:paraId="0E14AAED" w14:textId="77777777" w:rsidTr="00B555DB">
        <w:trPr>
          <w:trHeight w:val="240"/>
          <w:jc w:val="center"/>
        </w:trPr>
        <w:tc>
          <w:tcPr>
            <w:tcW w:w="2140" w:type="dxa"/>
            <w:shd w:val="clear" w:color="auto" w:fill="auto"/>
            <w:noWrap/>
            <w:vAlign w:val="center"/>
            <w:hideMark/>
          </w:tcPr>
          <w:p w14:paraId="4AB90615"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Chocó</w:t>
            </w:r>
          </w:p>
        </w:tc>
        <w:tc>
          <w:tcPr>
            <w:tcW w:w="3448" w:type="dxa"/>
            <w:shd w:val="clear" w:color="auto" w:fill="auto"/>
            <w:noWrap/>
            <w:vAlign w:val="center"/>
            <w:hideMark/>
          </w:tcPr>
          <w:p w14:paraId="372B2AC5"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Miner S.A. (El Roble)</w:t>
            </w:r>
          </w:p>
        </w:tc>
      </w:tr>
      <w:tr w:rsidR="002B6DE6" w:rsidRPr="00AB1C80" w14:paraId="46416C62" w14:textId="77777777" w:rsidTr="00B555DB">
        <w:trPr>
          <w:trHeight w:val="240"/>
          <w:jc w:val="center"/>
        </w:trPr>
        <w:tc>
          <w:tcPr>
            <w:tcW w:w="2140" w:type="dxa"/>
            <w:shd w:val="clear" w:color="auto" w:fill="auto"/>
            <w:noWrap/>
            <w:vAlign w:val="center"/>
          </w:tcPr>
          <w:p w14:paraId="49EDF407"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Caldas</w:t>
            </w:r>
          </w:p>
        </w:tc>
        <w:tc>
          <w:tcPr>
            <w:tcW w:w="3448" w:type="dxa"/>
            <w:shd w:val="clear" w:color="auto" w:fill="auto"/>
            <w:noWrap/>
            <w:vAlign w:val="center"/>
          </w:tcPr>
          <w:p w14:paraId="48B797A5"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Gran Colombia Gold (Marmato)</w:t>
            </w:r>
          </w:p>
        </w:tc>
      </w:tr>
      <w:tr w:rsidR="002B6DE6" w:rsidRPr="00AB1C80" w14:paraId="194E9F05" w14:textId="77777777" w:rsidTr="00B555DB">
        <w:trPr>
          <w:trHeight w:val="240"/>
          <w:jc w:val="center"/>
        </w:trPr>
        <w:tc>
          <w:tcPr>
            <w:tcW w:w="2140" w:type="dxa"/>
            <w:shd w:val="clear" w:color="auto" w:fill="auto"/>
            <w:noWrap/>
            <w:vAlign w:val="center"/>
          </w:tcPr>
          <w:p w14:paraId="56E7C477"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Cesar</w:t>
            </w:r>
          </w:p>
        </w:tc>
        <w:tc>
          <w:tcPr>
            <w:tcW w:w="3448" w:type="dxa"/>
            <w:shd w:val="clear" w:color="auto" w:fill="auto"/>
            <w:noWrap/>
            <w:vAlign w:val="center"/>
          </w:tcPr>
          <w:p w14:paraId="1468F368"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Drummond Ltd.</w:t>
            </w:r>
          </w:p>
        </w:tc>
      </w:tr>
      <w:tr w:rsidR="002B6DE6" w:rsidRPr="00AB1C80" w14:paraId="3D8954FC" w14:textId="77777777" w:rsidTr="00B555DB">
        <w:trPr>
          <w:trHeight w:val="240"/>
          <w:jc w:val="center"/>
        </w:trPr>
        <w:tc>
          <w:tcPr>
            <w:tcW w:w="2140" w:type="dxa"/>
            <w:shd w:val="clear" w:color="auto" w:fill="auto"/>
            <w:noWrap/>
            <w:vAlign w:val="center"/>
          </w:tcPr>
          <w:p w14:paraId="78374C2B"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Guajira</w:t>
            </w:r>
          </w:p>
        </w:tc>
        <w:tc>
          <w:tcPr>
            <w:tcW w:w="3448" w:type="dxa"/>
            <w:shd w:val="clear" w:color="auto" w:fill="auto"/>
            <w:noWrap/>
            <w:vAlign w:val="center"/>
          </w:tcPr>
          <w:p w14:paraId="7C720727"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Cerrejón</w:t>
            </w:r>
          </w:p>
        </w:tc>
      </w:tr>
      <w:tr w:rsidR="002B6DE6" w:rsidRPr="00AB1C80" w14:paraId="2FD5A76B" w14:textId="77777777" w:rsidTr="00B555DB">
        <w:trPr>
          <w:trHeight w:val="240"/>
          <w:jc w:val="center"/>
        </w:trPr>
        <w:tc>
          <w:tcPr>
            <w:tcW w:w="2140" w:type="dxa"/>
            <w:shd w:val="clear" w:color="auto" w:fill="auto"/>
            <w:noWrap/>
            <w:vAlign w:val="center"/>
          </w:tcPr>
          <w:p w14:paraId="588E1E16"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Córdoba</w:t>
            </w:r>
          </w:p>
        </w:tc>
        <w:tc>
          <w:tcPr>
            <w:tcW w:w="3448" w:type="dxa"/>
            <w:shd w:val="clear" w:color="auto" w:fill="auto"/>
            <w:noWrap/>
            <w:vAlign w:val="center"/>
          </w:tcPr>
          <w:p w14:paraId="5F252A53"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Cerro Matoso S.A.</w:t>
            </w:r>
          </w:p>
        </w:tc>
      </w:tr>
      <w:tr w:rsidR="002B6DE6" w:rsidRPr="00AB1C80" w14:paraId="1C2C11C7" w14:textId="77777777" w:rsidTr="00B555DB">
        <w:trPr>
          <w:trHeight w:val="240"/>
          <w:jc w:val="center"/>
        </w:trPr>
        <w:tc>
          <w:tcPr>
            <w:tcW w:w="2140" w:type="dxa"/>
            <w:shd w:val="clear" w:color="auto" w:fill="auto"/>
            <w:noWrap/>
            <w:vAlign w:val="center"/>
          </w:tcPr>
          <w:p w14:paraId="3284719D"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Tolima</w:t>
            </w:r>
          </w:p>
        </w:tc>
        <w:tc>
          <w:tcPr>
            <w:tcW w:w="3448" w:type="dxa"/>
            <w:shd w:val="clear" w:color="auto" w:fill="auto"/>
            <w:noWrap/>
            <w:vAlign w:val="center"/>
          </w:tcPr>
          <w:p w14:paraId="1E07614A"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Sumicol S.A.</w:t>
            </w:r>
          </w:p>
        </w:tc>
      </w:tr>
      <w:tr w:rsidR="002B6DE6" w:rsidRPr="00AB1C80" w14:paraId="740CCC94" w14:textId="77777777" w:rsidTr="00B555DB">
        <w:trPr>
          <w:trHeight w:val="240"/>
          <w:jc w:val="center"/>
        </w:trPr>
        <w:tc>
          <w:tcPr>
            <w:tcW w:w="2140" w:type="dxa"/>
            <w:shd w:val="clear" w:color="auto" w:fill="auto"/>
            <w:noWrap/>
            <w:vAlign w:val="center"/>
          </w:tcPr>
          <w:p w14:paraId="61B2B41E"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Tolima</w:t>
            </w:r>
          </w:p>
        </w:tc>
        <w:tc>
          <w:tcPr>
            <w:tcW w:w="3448" w:type="dxa"/>
            <w:shd w:val="clear" w:color="auto" w:fill="auto"/>
            <w:noWrap/>
            <w:vAlign w:val="center"/>
          </w:tcPr>
          <w:p w14:paraId="1FB4BEEA"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Agregados Argos S.A.</w:t>
            </w:r>
          </w:p>
        </w:tc>
      </w:tr>
      <w:tr w:rsidR="002B6DE6" w:rsidRPr="00AB1C80" w14:paraId="29309571" w14:textId="77777777" w:rsidTr="00B555DB">
        <w:trPr>
          <w:trHeight w:val="240"/>
          <w:jc w:val="center"/>
        </w:trPr>
        <w:tc>
          <w:tcPr>
            <w:tcW w:w="2140" w:type="dxa"/>
            <w:shd w:val="clear" w:color="auto" w:fill="auto"/>
            <w:noWrap/>
            <w:vAlign w:val="center"/>
          </w:tcPr>
          <w:p w14:paraId="2A114519"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Valle</w:t>
            </w:r>
          </w:p>
        </w:tc>
        <w:tc>
          <w:tcPr>
            <w:tcW w:w="3448" w:type="dxa"/>
            <w:shd w:val="clear" w:color="auto" w:fill="auto"/>
            <w:noWrap/>
            <w:vAlign w:val="center"/>
          </w:tcPr>
          <w:p w14:paraId="7394A952"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Agregados Argos S.A.</w:t>
            </w:r>
          </w:p>
        </w:tc>
      </w:tr>
      <w:tr w:rsidR="002B6DE6" w:rsidRPr="00AB1C80" w14:paraId="48171533" w14:textId="77777777" w:rsidTr="00B555DB">
        <w:trPr>
          <w:trHeight w:val="240"/>
          <w:jc w:val="center"/>
        </w:trPr>
        <w:tc>
          <w:tcPr>
            <w:tcW w:w="2140" w:type="dxa"/>
            <w:shd w:val="clear" w:color="auto" w:fill="auto"/>
            <w:noWrap/>
            <w:vAlign w:val="center"/>
          </w:tcPr>
          <w:p w14:paraId="47E1E432"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Buriticá</w:t>
            </w:r>
          </w:p>
        </w:tc>
        <w:tc>
          <w:tcPr>
            <w:tcW w:w="3448" w:type="dxa"/>
            <w:shd w:val="clear" w:color="auto" w:fill="auto"/>
            <w:noWrap/>
            <w:vAlign w:val="center"/>
          </w:tcPr>
          <w:p w14:paraId="3FFC2B54" w14:textId="77777777" w:rsidR="002B6DE6" w:rsidRPr="00AB1C80" w:rsidRDefault="002B6DE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ZIJIN-Continental Gold</w:t>
            </w:r>
          </w:p>
        </w:tc>
      </w:tr>
    </w:tbl>
    <w:p w14:paraId="38951DA5" w14:textId="77777777" w:rsidR="002B6DE6" w:rsidRPr="00AB1C80" w:rsidRDefault="002B6DE6" w:rsidP="00AB1C80">
      <w:pPr>
        <w:spacing w:line="276" w:lineRule="auto"/>
        <w:contextualSpacing/>
        <w:jc w:val="center"/>
        <w:rPr>
          <w:rFonts w:eastAsia="Times New Roman" w:cs="Arial"/>
          <w:b/>
          <w:i/>
          <w:spacing w:val="-10"/>
          <w:kern w:val="28"/>
          <w:sz w:val="18"/>
          <w:szCs w:val="56"/>
        </w:rPr>
      </w:pPr>
      <w:r w:rsidRPr="00AB1C80">
        <w:rPr>
          <w:rFonts w:eastAsia="Times New Roman" w:cs="Arial"/>
          <w:b/>
          <w:i/>
          <w:spacing w:val="-10"/>
          <w:kern w:val="28"/>
          <w:sz w:val="18"/>
          <w:szCs w:val="56"/>
        </w:rPr>
        <w:t>Fuente: Ministerio de Minas y Energía, 2021.</w:t>
      </w:r>
    </w:p>
    <w:p w14:paraId="4B9F0DCB" w14:textId="77777777" w:rsidR="002B6DE6" w:rsidRPr="00AB1C80" w:rsidRDefault="002B6DE6" w:rsidP="00AB1C80">
      <w:pPr>
        <w:spacing w:line="276" w:lineRule="auto"/>
        <w:rPr>
          <w:rFonts w:cs="Arial"/>
          <w:szCs w:val="24"/>
        </w:rPr>
      </w:pPr>
    </w:p>
    <w:p w14:paraId="4F8EE1F6" w14:textId="2FE11032" w:rsidR="002B6DE6" w:rsidRPr="00AB1C80" w:rsidRDefault="002B6DE6" w:rsidP="00AB1C80">
      <w:pPr>
        <w:spacing w:line="276" w:lineRule="auto"/>
        <w:rPr>
          <w:rFonts w:cs="Arial"/>
          <w:color w:val="000000" w:themeColor="text1"/>
        </w:rPr>
      </w:pPr>
      <w:r w:rsidRPr="00AB1C80">
        <w:rPr>
          <w:rFonts w:cs="Arial"/>
          <w:szCs w:val="24"/>
        </w:rPr>
        <w:t xml:space="preserve">Los actores invitados para el desarrollo de las mesas de trabajo se seleccionaron con el objetivo de tener diversidad de puntos de vista, conocimiento y experiencias respecto al manejo de </w:t>
      </w:r>
      <w:r w:rsidRPr="00AB1C80">
        <w:rPr>
          <w:rFonts w:cs="Arial"/>
          <w:color w:val="000000" w:themeColor="text1"/>
          <w:szCs w:val="24"/>
        </w:rPr>
        <w:t>gestión y manejo de estériles y economía circular.</w:t>
      </w:r>
    </w:p>
    <w:p w14:paraId="330C5F39" w14:textId="596DD124" w:rsidR="002B6DE6" w:rsidRPr="00AB1C80" w:rsidRDefault="002B6DE6" w:rsidP="00AB1C80">
      <w:pPr>
        <w:spacing w:line="276" w:lineRule="auto"/>
        <w:rPr>
          <w:rFonts w:cs="Arial"/>
          <w:color w:val="000000" w:themeColor="text1"/>
        </w:rPr>
      </w:pPr>
    </w:p>
    <w:p w14:paraId="44D099D1" w14:textId="5E180829" w:rsidR="00C67F2C" w:rsidRPr="00AB1C80" w:rsidRDefault="00C67F2C" w:rsidP="00AB1C80">
      <w:pPr>
        <w:spacing w:line="276" w:lineRule="auto"/>
        <w:rPr>
          <w:rFonts w:cs="Arial"/>
          <w:color w:val="000000" w:themeColor="text1"/>
        </w:rPr>
      </w:pPr>
      <w:r w:rsidRPr="00AB1C80">
        <w:rPr>
          <w:rFonts w:cs="Arial"/>
          <w:color w:val="000000" w:themeColor="text1"/>
        </w:rPr>
        <w:t xml:space="preserve">En el desarrollo de las reuniones con las empresas y actores, en el primer eje temático de gestión y manejo de estéril minero, se abordado la definición de estéril, aspectos relevantes relacionados a su manejo, limitantes e impedimentos identificados para su aprovechamiento, referentes normativos de gestión, en cuanto al segundo eje temático correspondiente a la economía circular en el sector minero se presentó el concepto de economía circular, el enfoque dado en Colombia, base normativa y modelo de Basura Cero (BC) propuesto para el sector minero; en los dos ejes se plantearon interrogantes con el fin de lograr un adecuado intercambio de experiencias e información, </w:t>
      </w:r>
      <w:r w:rsidRPr="00AB1C80">
        <w:rPr>
          <w:rFonts w:cs="Arial"/>
          <w:color w:val="000000" w:themeColor="text1"/>
          <w:szCs w:val="24"/>
        </w:rPr>
        <w:t xml:space="preserve">y una interacción fluida entre las partes. </w:t>
      </w:r>
      <w:r w:rsidRPr="00AB1C80">
        <w:rPr>
          <w:rFonts w:cs="Arial"/>
          <w:color w:val="000000" w:themeColor="text1"/>
        </w:rPr>
        <w:t>Posteriormente se procedió a recibir la retroalimentación por parte de las empresas y respuestas a las preguntas realizadas por el equipo de trabajo de ATG Ltda. y la Supervisión del MME.</w:t>
      </w:r>
    </w:p>
    <w:p w14:paraId="11A9D00E" w14:textId="77777777" w:rsidR="00C67F2C" w:rsidRPr="00AB1C80" w:rsidRDefault="00C67F2C" w:rsidP="00AB1C80">
      <w:pPr>
        <w:spacing w:line="276" w:lineRule="auto"/>
        <w:rPr>
          <w:rFonts w:cs="Arial"/>
          <w:color w:val="000000" w:themeColor="text1"/>
        </w:rPr>
      </w:pPr>
    </w:p>
    <w:p w14:paraId="3A9F567E" w14:textId="77777777" w:rsidR="00C67F2C" w:rsidRPr="00AB1C80" w:rsidRDefault="00C67F2C" w:rsidP="00AB1C80">
      <w:pPr>
        <w:spacing w:line="276" w:lineRule="auto"/>
        <w:jc w:val="center"/>
        <w:rPr>
          <w:rFonts w:cs="Arial"/>
          <w:color w:val="000000" w:themeColor="text1"/>
        </w:rPr>
      </w:pPr>
      <w:r w:rsidRPr="00AB1C80">
        <w:rPr>
          <w:rFonts w:cs="Arial"/>
          <w:noProof/>
        </w:rPr>
        <w:drawing>
          <wp:inline distT="0" distB="0" distL="0" distR="0" wp14:anchorId="5BC8AB72" wp14:editId="3C661AD7">
            <wp:extent cx="5375275" cy="2962275"/>
            <wp:effectExtent l="19050" t="19050" r="15875" b="28575"/>
            <wp:docPr id="11" name="Imagen 1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Texto&#10;&#10;Descripción generada automáticamente"/>
                    <pic:cNvPicPr/>
                  </pic:nvPicPr>
                  <pic:blipFill>
                    <a:blip r:embed="rId11"/>
                    <a:stretch>
                      <a:fillRect/>
                    </a:stretch>
                  </pic:blipFill>
                  <pic:spPr>
                    <a:xfrm>
                      <a:off x="0" y="0"/>
                      <a:ext cx="5414028" cy="2983631"/>
                    </a:xfrm>
                    <a:prstGeom prst="rect">
                      <a:avLst/>
                    </a:prstGeom>
                    <a:ln w="19050">
                      <a:solidFill>
                        <a:schemeClr val="accent5">
                          <a:lumMod val="50000"/>
                        </a:schemeClr>
                      </a:solidFill>
                    </a:ln>
                  </pic:spPr>
                </pic:pic>
              </a:graphicData>
            </a:graphic>
          </wp:inline>
        </w:drawing>
      </w:r>
    </w:p>
    <w:p w14:paraId="0DC5FC77" w14:textId="5F159401" w:rsidR="00C67F2C" w:rsidRPr="00AB1C80" w:rsidRDefault="00C67F2C" w:rsidP="00AB1C80">
      <w:pPr>
        <w:pStyle w:val="FigurayTabla"/>
        <w:spacing w:line="276" w:lineRule="auto"/>
        <w:rPr>
          <w:rFonts w:cs="Arial"/>
          <w:lang w:val="es-CO"/>
        </w:rPr>
      </w:pPr>
      <w:bookmarkStart w:id="16" w:name="_Ref55305210"/>
      <w:bookmarkStart w:id="17" w:name="_Toc57372255"/>
      <w:bookmarkStart w:id="18" w:name="_Toc86333001"/>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4</w:t>
      </w:r>
      <w:r w:rsidRPr="00AB1C80">
        <w:rPr>
          <w:rFonts w:cs="Arial"/>
          <w:lang w:val="es-CO"/>
        </w:rPr>
        <w:fldChar w:fldCharType="end"/>
      </w:r>
      <w:bookmarkEnd w:id="16"/>
      <w:r w:rsidRPr="00AB1C80">
        <w:rPr>
          <w:rFonts w:cs="Arial"/>
          <w:lang w:val="es-CO"/>
        </w:rPr>
        <w:t xml:space="preserve">. Presentación elaborada para la socialización con </w:t>
      </w:r>
      <w:r w:rsidR="00D56358" w:rsidRPr="00AB1C80">
        <w:rPr>
          <w:rFonts w:cs="Arial"/>
          <w:lang w:val="es-CO"/>
        </w:rPr>
        <w:t>empresas y actores mineros</w:t>
      </w:r>
      <w:r w:rsidRPr="00AB1C80">
        <w:rPr>
          <w:rFonts w:cs="Arial"/>
          <w:lang w:val="es-CO"/>
        </w:rPr>
        <w:t>.</w:t>
      </w:r>
      <w:bookmarkEnd w:id="17"/>
      <w:bookmarkEnd w:id="18"/>
    </w:p>
    <w:p w14:paraId="7F7308CA" w14:textId="77777777" w:rsidR="00C67F2C" w:rsidRPr="00AB1C80" w:rsidRDefault="00C67F2C" w:rsidP="00AB1C80">
      <w:pPr>
        <w:pStyle w:val="Fuente"/>
        <w:spacing w:line="276" w:lineRule="auto"/>
        <w:rPr>
          <w:rFonts w:cs="Arial"/>
          <w:lang w:val="es-CO"/>
        </w:rPr>
      </w:pPr>
      <w:r w:rsidRPr="00AB1C80">
        <w:rPr>
          <w:rFonts w:cs="Arial"/>
          <w:lang w:val="es-CO"/>
        </w:rPr>
        <w:t>Fuente: ATG Ltda., 2020.</w:t>
      </w:r>
    </w:p>
    <w:p w14:paraId="7B2529FC" w14:textId="77777777" w:rsidR="00C67F2C" w:rsidRPr="00AB1C80" w:rsidRDefault="00C67F2C" w:rsidP="00AB1C80">
      <w:pPr>
        <w:spacing w:line="276" w:lineRule="auto"/>
        <w:rPr>
          <w:rFonts w:cs="Arial"/>
          <w:color w:val="000000" w:themeColor="text1"/>
        </w:rPr>
      </w:pPr>
    </w:p>
    <w:p w14:paraId="24793C39" w14:textId="136D5869" w:rsidR="002D03EA" w:rsidRPr="00AB1C80" w:rsidRDefault="002D03EA" w:rsidP="00AB1C80">
      <w:pPr>
        <w:pStyle w:val="Ttulo3"/>
        <w:spacing w:line="276" w:lineRule="auto"/>
        <w:rPr>
          <w:rFonts w:cs="Arial"/>
        </w:rPr>
      </w:pPr>
      <w:bookmarkStart w:id="19" w:name="_Toc86332913"/>
      <w:bookmarkStart w:id="20" w:name="_Hlk51592423"/>
      <w:r w:rsidRPr="00AB1C80">
        <w:rPr>
          <w:rFonts w:cs="Arial"/>
        </w:rPr>
        <w:t>Empresas mineras</w:t>
      </w:r>
      <w:bookmarkEnd w:id="19"/>
    </w:p>
    <w:p w14:paraId="0213D7E5" w14:textId="25DA8772" w:rsidR="002D03EA" w:rsidRPr="00AB1C80" w:rsidRDefault="002D03EA" w:rsidP="00AB1C80">
      <w:pPr>
        <w:spacing w:line="276" w:lineRule="auto"/>
        <w:rPr>
          <w:rFonts w:cs="Arial"/>
          <w:color w:val="000000" w:themeColor="text1"/>
          <w:szCs w:val="24"/>
        </w:rPr>
      </w:pPr>
    </w:p>
    <w:p w14:paraId="10CD923E" w14:textId="77777777" w:rsidR="002B6DE6" w:rsidRPr="00AB1C80" w:rsidRDefault="002B6DE6" w:rsidP="00AB1C80">
      <w:pPr>
        <w:spacing w:line="276" w:lineRule="auto"/>
        <w:rPr>
          <w:rFonts w:cs="Arial"/>
        </w:rPr>
      </w:pPr>
      <w:r w:rsidRPr="00AB1C80">
        <w:rPr>
          <w:rFonts w:cs="Arial"/>
        </w:rPr>
        <w:t xml:space="preserve">Se enviaron correos electrónicos a manera de invitación por parte del </w:t>
      </w:r>
      <w:r w:rsidRPr="00AB1C80">
        <w:rPr>
          <w:rFonts w:cs="Arial"/>
          <w:color w:val="000000" w:themeColor="text1"/>
          <w:szCs w:val="24"/>
        </w:rPr>
        <w:t>Ministerio de Minas y Energía (Dirección de Minería Empresarial)</w:t>
      </w:r>
      <w:r w:rsidRPr="00AB1C80">
        <w:rPr>
          <w:rFonts w:cs="Arial"/>
          <w:szCs w:val="24"/>
        </w:rPr>
        <w:t xml:space="preserve"> y ATG Ltda., y se realizó seguimiento </w:t>
      </w:r>
      <w:r w:rsidRPr="00AB1C80">
        <w:rPr>
          <w:rFonts w:cs="Arial"/>
        </w:rPr>
        <w:t xml:space="preserve">con el fin de lograr llevar a cabo la mayor cantidad de reuniones y así cumplir con lo expuesto en el contrato. </w:t>
      </w:r>
    </w:p>
    <w:p w14:paraId="397014D0" w14:textId="77777777" w:rsidR="002B6DE6" w:rsidRPr="00AB1C80" w:rsidRDefault="002B6DE6" w:rsidP="00AB1C80">
      <w:pPr>
        <w:spacing w:line="276" w:lineRule="auto"/>
        <w:rPr>
          <w:rFonts w:cs="Arial"/>
        </w:rPr>
      </w:pPr>
    </w:p>
    <w:p w14:paraId="1BDB438F" w14:textId="795447E9" w:rsidR="002B6DE6" w:rsidRPr="00AB1C80" w:rsidRDefault="002B6DE6" w:rsidP="00AB1C80">
      <w:pPr>
        <w:spacing w:line="276" w:lineRule="auto"/>
        <w:rPr>
          <w:rFonts w:cs="Arial"/>
          <w:color w:val="000000" w:themeColor="text1"/>
        </w:rPr>
      </w:pPr>
      <w:r w:rsidRPr="00AB1C80">
        <w:rPr>
          <w:rFonts w:cs="Arial"/>
          <w:szCs w:val="24"/>
        </w:rPr>
        <w:t xml:space="preserve">Por medio de correo eléctrico se contactó a diecisiete </w:t>
      </w:r>
      <w:r w:rsidRPr="00AB1C80">
        <w:rPr>
          <w:rFonts w:cs="Arial"/>
          <w:b/>
          <w:szCs w:val="24"/>
        </w:rPr>
        <w:t>(17)</w:t>
      </w:r>
      <w:r w:rsidRPr="00AB1C80">
        <w:rPr>
          <w:rFonts w:cs="Arial"/>
          <w:szCs w:val="24"/>
        </w:rPr>
        <w:t xml:space="preserve"> empresas mineras de las cuales se lograron coordinar nueve </w:t>
      </w:r>
      <w:r w:rsidRPr="00AB1C80">
        <w:rPr>
          <w:rFonts w:cs="Arial"/>
          <w:b/>
          <w:szCs w:val="24"/>
        </w:rPr>
        <w:t>(9)</w:t>
      </w:r>
      <w:r w:rsidRPr="00AB1C80">
        <w:rPr>
          <w:rFonts w:cs="Arial"/>
          <w:szCs w:val="24"/>
        </w:rPr>
        <w:t xml:space="preserve"> reuniones al momento de este entregable, (ver</w:t>
      </w:r>
      <w:r w:rsidR="001C6F27" w:rsidRPr="00AB1C80">
        <w:rPr>
          <w:rFonts w:cs="Arial"/>
          <w:szCs w:val="24"/>
        </w:rPr>
        <w:t xml:space="preserve"> </w:t>
      </w:r>
      <w:r w:rsidR="001C6F27" w:rsidRPr="00AB1C80">
        <w:rPr>
          <w:rFonts w:cs="Arial"/>
          <w:b/>
          <w:bCs/>
          <w:szCs w:val="24"/>
        </w:rPr>
        <w:fldChar w:fldCharType="begin"/>
      </w:r>
      <w:r w:rsidR="001C6F27" w:rsidRPr="00AB1C80">
        <w:rPr>
          <w:rFonts w:cs="Arial"/>
          <w:b/>
          <w:bCs/>
          <w:szCs w:val="24"/>
        </w:rPr>
        <w:instrText xml:space="preserve"> REF _Ref86232728 \h  \* MERGEFORMAT </w:instrText>
      </w:r>
      <w:r w:rsidR="001C6F27" w:rsidRPr="00AB1C80">
        <w:rPr>
          <w:rFonts w:cs="Arial"/>
          <w:b/>
          <w:bCs/>
          <w:szCs w:val="24"/>
        </w:rPr>
      </w:r>
      <w:r w:rsidR="001C6F27" w:rsidRPr="00AB1C80">
        <w:rPr>
          <w:rFonts w:cs="Arial"/>
          <w:b/>
          <w:bCs/>
          <w:szCs w:val="24"/>
        </w:rPr>
        <w:fldChar w:fldCharType="separate"/>
      </w:r>
      <w:r w:rsidR="00AB1C80" w:rsidRPr="00AB1C80">
        <w:rPr>
          <w:rFonts w:cs="Arial"/>
          <w:b/>
          <w:bCs/>
        </w:rPr>
        <w:t xml:space="preserve">Tabla </w:t>
      </w:r>
      <w:r w:rsidR="00AB1C80" w:rsidRPr="00AB1C80">
        <w:rPr>
          <w:rFonts w:cs="Arial"/>
          <w:b/>
          <w:bCs/>
          <w:noProof/>
        </w:rPr>
        <w:t>2</w:t>
      </w:r>
      <w:r w:rsidR="001C6F27" w:rsidRPr="00AB1C80">
        <w:rPr>
          <w:rFonts w:cs="Arial"/>
          <w:b/>
          <w:bCs/>
          <w:szCs w:val="24"/>
        </w:rPr>
        <w:fldChar w:fldCharType="end"/>
      </w:r>
      <w:r w:rsidRPr="00AB1C80">
        <w:rPr>
          <w:rFonts w:cs="Arial"/>
          <w:szCs w:val="24"/>
        </w:rPr>
        <w:t xml:space="preserve">), todas las empresas brindaron información con respecto a los temas de gestión y manejo de estériles y economía circular, a la fecha se encuentra pendiente una </w:t>
      </w:r>
      <w:r w:rsidRPr="00AB1C80">
        <w:rPr>
          <w:rFonts w:cs="Arial"/>
          <w:b/>
          <w:bCs/>
          <w:szCs w:val="24"/>
        </w:rPr>
        <w:t>(1)</w:t>
      </w:r>
      <w:r w:rsidRPr="00AB1C80">
        <w:rPr>
          <w:rFonts w:cs="Arial"/>
          <w:szCs w:val="24"/>
        </w:rPr>
        <w:t xml:space="preserve"> reunión con Mineros S.A.</w:t>
      </w:r>
      <w:r w:rsidR="000875AD" w:rsidRPr="00AB1C80">
        <w:rPr>
          <w:rFonts w:cs="Arial"/>
          <w:szCs w:val="24"/>
        </w:rPr>
        <w:t xml:space="preserve">, con una </w:t>
      </w:r>
      <w:r w:rsidR="009801C0" w:rsidRPr="00AB1C80">
        <w:rPr>
          <w:rFonts w:cs="Arial"/>
          <w:b/>
          <w:bCs/>
          <w:szCs w:val="24"/>
        </w:rPr>
        <w:t>(1)</w:t>
      </w:r>
      <w:r w:rsidR="009801C0" w:rsidRPr="00AB1C80">
        <w:rPr>
          <w:rFonts w:cs="Arial"/>
          <w:szCs w:val="24"/>
        </w:rPr>
        <w:t xml:space="preserve"> </w:t>
      </w:r>
      <w:r w:rsidR="000875AD" w:rsidRPr="00AB1C80">
        <w:rPr>
          <w:rFonts w:cs="Arial"/>
          <w:szCs w:val="24"/>
        </w:rPr>
        <w:t xml:space="preserve">empresa </w:t>
      </w:r>
      <w:r w:rsidR="001C6F27" w:rsidRPr="00AB1C80">
        <w:rPr>
          <w:rFonts w:cs="Arial"/>
          <w:szCs w:val="24"/>
        </w:rPr>
        <w:t xml:space="preserve">se </w:t>
      </w:r>
      <w:r w:rsidR="009801C0" w:rsidRPr="00AB1C80">
        <w:rPr>
          <w:rFonts w:cs="Arial"/>
          <w:szCs w:val="24"/>
        </w:rPr>
        <w:t xml:space="preserve">está pendiente confirmar la fecha de una posible reunión </w:t>
      </w:r>
      <w:r w:rsidRPr="00AB1C80">
        <w:rPr>
          <w:rFonts w:cs="Arial"/>
          <w:szCs w:val="24"/>
        </w:rPr>
        <w:t xml:space="preserve">y con las otras empresas no se logró concretar la reunión o no se </w:t>
      </w:r>
      <w:r w:rsidR="009801C0" w:rsidRPr="00AB1C80">
        <w:rPr>
          <w:rFonts w:cs="Arial"/>
          <w:szCs w:val="24"/>
        </w:rPr>
        <w:t>logra contactar</w:t>
      </w:r>
      <w:r w:rsidRPr="00AB1C80">
        <w:rPr>
          <w:rFonts w:cs="Arial"/>
          <w:szCs w:val="24"/>
        </w:rPr>
        <w:t>.</w:t>
      </w:r>
    </w:p>
    <w:p w14:paraId="509A74D6" w14:textId="77777777" w:rsidR="002B6DE6" w:rsidRPr="00AB1C80" w:rsidRDefault="002B6DE6" w:rsidP="00AB1C80">
      <w:pPr>
        <w:pStyle w:val="FigurayTabla"/>
        <w:spacing w:line="276" w:lineRule="auto"/>
        <w:rPr>
          <w:rFonts w:cs="Arial"/>
          <w:lang w:val="es-CO"/>
        </w:rPr>
      </w:pPr>
      <w:bookmarkStart w:id="21" w:name="_Ref55304762"/>
      <w:bookmarkStart w:id="22" w:name="_Toc55305931"/>
      <w:bookmarkStart w:id="23" w:name="_Toc57372208"/>
    </w:p>
    <w:p w14:paraId="1C420E02" w14:textId="4B9F04F7" w:rsidR="002B6DE6" w:rsidRPr="00AB1C80" w:rsidRDefault="002B6DE6" w:rsidP="00AB1C80">
      <w:pPr>
        <w:pStyle w:val="FigurayTabla"/>
        <w:spacing w:line="276" w:lineRule="auto"/>
        <w:rPr>
          <w:rFonts w:cs="Arial"/>
          <w:lang w:val="es-CO"/>
        </w:rPr>
      </w:pPr>
      <w:bookmarkStart w:id="24" w:name="_Ref86232728"/>
      <w:bookmarkStart w:id="25" w:name="_Toc86333007"/>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w:t>
      </w:r>
      <w:r w:rsidRPr="00AB1C80">
        <w:rPr>
          <w:rFonts w:cs="Arial"/>
          <w:lang w:val="es-CO"/>
        </w:rPr>
        <w:fldChar w:fldCharType="end"/>
      </w:r>
      <w:bookmarkEnd w:id="21"/>
      <w:bookmarkEnd w:id="24"/>
      <w:r w:rsidRPr="00AB1C80">
        <w:rPr>
          <w:rFonts w:cs="Arial"/>
          <w:lang w:val="es-CO"/>
        </w:rPr>
        <w:t>. Relación de correos enviados a Empresas Mineras.</w:t>
      </w:r>
      <w:bookmarkEnd w:id="22"/>
      <w:bookmarkEnd w:id="23"/>
      <w:bookmarkEnd w:id="25"/>
    </w:p>
    <w:tbl>
      <w:tblPr>
        <w:tblW w:w="10632" w:type="dxa"/>
        <w:jc w:val="center"/>
        <w:tblCellMar>
          <w:left w:w="70" w:type="dxa"/>
          <w:right w:w="70" w:type="dxa"/>
        </w:tblCellMar>
        <w:tblLook w:val="04A0" w:firstRow="1" w:lastRow="0" w:firstColumn="1" w:lastColumn="0" w:noHBand="0" w:noVBand="1"/>
      </w:tblPr>
      <w:tblGrid>
        <w:gridCol w:w="1833"/>
        <w:gridCol w:w="2145"/>
        <w:gridCol w:w="3726"/>
        <w:gridCol w:w="1369"/>
        <w:gridCol w:w="1559"/>
      </w:tblGrid>
      <w:tr w:rsidR="002B6DE6" w:rsidRPr="00AB1C80" w14:paraId="34C40C9B" w14:textId="77777777" w:rsidTr="000A59FD">
        <w:trPr>
          <w:trHeight w:val="20"/>
          <w:tblHeader/>
          <w:jc w:val="center"/>
        </w:trPr>
        <w:tc>
          <w:tcPr>
            <w:tcW w:w="1833" w:type="dxa"/>
            <w:tcBorders>
              <w:top w:val="single" w:sz="4" w:space="0" w:color="auto"/>
              <w:left w:val="single" w:sz="4" w:space="0" w:color="auto"/>
              <w:bottom w:val="single" w:sz="4" w:space="0" w:color="auto"/>
              <w:right w:val="single" w:sz="4" w:space="0" w:color="auto"/>
            </w:tcBorders>
            <w:shd w:val="clear" w:color="000000" w:fill="1E345C"/>
            <w:vAlign w:val="center"/>
            <w:hideMark/>
          </w:tcPr>
          <w:p w14:paraId="2D202AA9" w14:textId="77777777" w:rsidR="002B6DE6" w:rsidRPr="00AB1C80" w:rsidRDefault="002B6DE6"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Empresa</w:t>
            </w:r>
          </w:p>
        </w:tc>
        <w:tc>
          <w:tcPr>
            <w:tcW w:w="2145" w:type="dxa"/>
            <w:tcBorders>
              <w:top w:val="single" w:sz="4" w:space="0" w:color="auto"/>
              <w:left w:val="nil"/>
              <w:bottom w:val="single" w:sz="4" w:space="0" w:color="auto"/>
              <w:right w:val="single" w:sz="4" w:space="0" w:color="auto"/>
            </w:tcBorders>
            <w:shd w:val="clear" w:color="000000" w:fill="1E345C"/>
            <w:vAlign w:val="center"/>
            <w:hideMark/>
          </w:tcPr>
          <w:p w14:paraId="46115742" w14:textId="77777777" w:rsidR="002B6DE6" w:rsidRPr="00AB1C80" w:rsidRDefault="002B6DE6"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Contacto Inicial</w:t>
            </w:r>
          </w:p>
        </w:tc>
        <w:tc>
          <w:tcPr>
            <w:tcW w:w="3726" w:type="dxa"/>
            <w:tcBorders>
              <w:top w:val="single" w:sz="4" w:space="0" w:color="auto"/>
              <w:left w:val="nil"/>
              <w:bottom w:val="single" w:sz="4" w:space="0" w:color="auto"/>
              <w:right w:val="single" w:sz="4" w:space="0" w:color="auto"/>
            </w:tcBorders>
            <w:shd w:val="clear" w:color="000000" w:fill="1E345C"/>
            <w:vAlign w:val="center"/>
            <w:hideMark/>
          </w:tcPr>
          <w:p w14:paraId="224D4BDB" w14:textId="77777777" w:rsidR="002B6DE6" w:rsidRPr="00AB1C80" w:rsidRDefault="002B6DE6"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Correo</w:t>
            </w:r>
          </w:p>
        </w:tc>
        <w:tc>
          <w:tcPr>
            <w:tcW w:w="1369" w:type="dxa"/>
            <w:tcBorders>
              <w:top w:val="single" w:sz="4" w:space="0" w:color="auto"/>
              <w:left w:val="nil"/>
              <w:bottom w:val="single" w:sz="4" w:space="0" w:color="auto"/>
              <w:right w:val="single" w:sz="4" w:space="0" w:color="auto"/>
            </w:tcBorders>
            <w:shd w:val="clear" w:color="000000" w:fill="1E345C"/>
            <w:vAlign w:val="center"/>
            <w:hideMark/>
          </w:tcPr>
          <w:p w14:paraId="0A63D1F9" w14:textId="77777777" w:rsidR="002B6DE6" w:rsidRPr="00AB1C80" w:rsidRDefault="002B6DE6"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Confirmación Reunión</w:t>
            </w:r>
          </w:p>
        </w:tc>
        <w:tc>
          <w:tcPr>
            <w:tcW w:w="1559" w:type="dxa"/>
            <w:tcBorders>
              <w:top w:val="single" w:sz="4" w:space="0" w:color="auto"/>
              <w:left w:val="nil"/>
              <w:bottom w:val="single" w:sz="4" w:space="0" w:color="auto"/>
              <w:right w:val="single" w:sz="4" w:space="0" w:color="auto"/>
            </w:tcBorders>
            <w:shd w:val="clear" w:color="000000" w:fill="1E345C"/>
            <w:vAlign w:val="center"/>
            <w:hideMark/>
          </w:tcPr>
          <w:p w14:paraId="327B06E3" w14:textId="77777777" w:rsidR="002B6DE6" w:rsidRPr="00AB1C80" w:rsidRDefault="002B6DE6"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Fecha de Reunión</w:t>
            </w:r>
          </w:p>
        </w:tc>
      </w:tr>
      <w:tr w:rsidR="000031C5" w:rsidRPr="00AB1C80" w14:paraId="15D09C7C"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60245D7D"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Sumicol S.A.</w:t>
            </w:r>
          </w:p>
        </w:tc>
        <w:tc>
          <w:tcPr>
            <w:tcW w:w="2145" w:type="dxa"/>
            <w:tcBorders>
              <w:top w:val="nil"/>
              <w:left w:val="nil"/>
              <w:bottom w:val="single" w:sz="4" w:space="0" w:color="auto"/>
              <w:right w:val="single" w:sz="4" w:space="0" w:color="auto"/>
            </w:tcBorders>
            <w:shd w:val="clear" w:color="auto" w:fill="auto"/>
            <w:vAlign w:val="center"/>
            <w:hideMark/>
          </w:tcPr>
          <w:p w14:paraId="6E2373AD"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Oscar Ocampo</w:t>
            </w:r>
            <w:r w:rsidRPr="00AB1C80">
              <w:rPr>
                <w:rFonts w:eastAsia="Times New Roman" w:cs="Arial"/>
                <w:color w:val="000000"/>
                <w:sz w:val="18"/>
                <w:szCs w:val="18"/>
                <w:lang w:eastAsia="es-CO"/>
              </w:rPr>
              <w:br/>
              <w:t>Antonio Henao</w:t>
            </w:r>
          </w:p>
        </w:tc>
        <w:tc>
          <w:tcPr>
            <w:tcW w:w="3726" w:type="dxa"/>
            <w:tcBorders>
              <w:top w:val="nil"/>
              <w:left w:val="nil"/>
              <w:bottom w:val="single" w:sz="4" w:space="0" w:color="auto"/>
              <w:right w:val="single" w:sz="4" w:space="0" w:color="auto"/>
            </w:tcBorders>
            <w:shd w:val="clear" w:color="auto" w:fill="auto"/>
            <w:vAlign w:val="center"/>
            <w:hideMark/>
          </w:tcPr>
          <w:p w14:paraId="6119A9EF"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oocampo@corona.com.co</w:t>
            </w:r>
            <w:r w:rsidRPr="00AB1C80">
              <w:rPr>
                <w:rFonts w:eastAsia="Times New Roman" w:cs="Arial"/>
                <w:color w:val="000000"/>
                <w:sz w:val="18"/>
                <w:szCs w:val="18"/>
                <w:lang w:eastAsia="es-CO"/>
              </w:rPr>
              <w:br/>
              <w:t>ahenao@corona.com.co</w:t>
            </w:r>
          </w:p>
        </w:tc>
        <w:tc>
          <w:tcPr>
            <w:tcW w:w="1369" w:type="dxa"/>
            <w:tcBorders>
              <w:top w:val="nil"/>
              <w:left w:val="nil"/>
              <w:bottom w:val="single" w:sz="4" w:space="0" w:color="auto"/>
              <w:right w:val="single" w:sz="4" w:space="0" w:color="auto"/>
            </w:tcBorders>
            <w:shd w:val="clear" w:color="auto" w:fill="auto"/>
            <w:noWrap/>
            <w:vAlign w:val="center"/>
            <w:hideMark/>
          </w:tcPr>
          <w:p w14:paraId="309919D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7C81ACD7"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martes, 05 de octubre de 2021</w:t>
            </w:r>
          </w:p>
        </w:tc>
      </w:tr>
      <w:tr w:rsidR="000031C5" w:rsidRPr="00AB1C80" w14:paraId="6565257D"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7F0FF591"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Drummond Ltd.</w:t>
            </w:r>
          </w:p>
        </w:tc>
        <w:tc>
          <w:tcPr>
            <w:tcW w:w="2145" w:type="dxa"/>
            <w:tcBorders>
              <w:top w:val="nil"/>
              <w:left w:val="nil"/>
              <w:bottom w:val="single" w:sz="4" w:space="0" w:color="auto"/>
              <w:right w:val="single" w:sz="4" w:space="0" w:color="auto"/>
            </w:tcBorders>
            <w:shd w:val="clear" w:color="auto" w:fill="auto"/>
            <w:vAlign w:val="center"/>
            <w:hideMark/>
          </w:tcPr>
          <w:p w14:paraId="224CC88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Beatriz Zapata</w:t>
            </w:r>
            <w:r w:rsidRPr="00AB1C80">
              <w:rPr>
                <w:rFonts w:eastAsia="Times New Roman" w:cs="Arial"/>
                <w:color w:val="000000"/>
                <w:sz w:val="18"/>
                <w:szCs w:val="18"/>
                <w:lang w:eastAsia="es-CO"/>
              </w:rPr>
              <w:br/>
              <w:t>Alexander Contreras</w:t>
            </w:r>
          </w:p>
        </w:tc>
        <w:tc>
          <w:tcPr>
            <w:tcW w:w="3726" w:type="dxa"/>
            <w:tcBorders>
              <w:top w:val="nil"/>
              <w:left w:val="nil"/>
              <w:bottom w:val="single" w:sz="4" w:space="0" w:color="auto"/>
              <w:right w:val="single" w:sz="4" w:space="0" w:color="auto"/>
            </w:tcBorders>
            <w:shd w:val="clear" w:color="auto" w:fill="auto"/>
            <w:vAlign w:val="center"/>
            <w:hideMark/>
          </w:tcPr>
          <w:p w14:paraId="76B6428D"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bzapata@drummondltd.com</w:t>
            </w:r>
            <w:r w:rsidRPr="00AB1C80">
              <w:rPr>
                <w:rFonts w:eastAsia="Times New Roman" w:cs="Arial"/>
                <w:color w:val="000000"/>
                <w:sz w:val="18"/>
                <w:szCs w:val="18"/>
                <w:lang w:eastAsia="es-CO"/>
              </w:rPr>
              <w:br/>
              <w:t>AContreras@drummondltd.com</w:t>
            </w:r>
          </w:p>
        </w:tc>
        <w:tc>
          <w:tcPr>
            <w:tcW w:w="1369" w:type="dxa"/>
            <w:tcBorders>
              <w:top w:val="nil"/>
              <w:left w:val="nil"/>
              <w:bottom w:val="single" w:sz="4" w:space="0" w:color="auto"/>
              <w:right w:val="single" w:sz="4" w:space="0" w:color="auto"/>
            </w:tcBorders>
            <w:shd w:val="clear" w:color="auto" w:fill="auto"/>
            <w:noWrap/>
            <w:vAlign w:val="center"/>
            <w:hideMark/>
          </w:tcPr>
          <w:p w14:paraId="4924150E"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0848A16A"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miércoles, 06 de octubre de 2021</w:t>
            </w:r>
          </w:p>
        </w:tc>
      </w:tr>
      <w:tr w:rsidR="000031C5" w:rsidRPr="00AB1C80" w14:paraId="2015C8D3"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745C1F46"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lastRenderedPageBreak/>
              <w:t>Uniminas S.A.</w:t>
            </w:r>
          </w:p>
        </w:tc>
        <w:tc>
          <w:tcPr>
            <w:tcW w:w="2145" w:type="dxa"/>
            <w:tcBorders>
              <w:top w:val="nil"/>
              <w:left w:val="nil"/>
              <w:bottom w:val="single" w:sz="4" w:space="0" w:color="auto"/>
              <w:right w:val="single" w:sz="4" w:space="0" w:color="auto"/>
            </w:tcBorders>
            <w:shd w:val="clear" w:color="auto" w:fill="auto"/>
            <w:vAlign w:val="center"/>
            <w:hideMark/>
          </w:tcPr>
          <w:p w14:paraId="0D28ABB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Johanna Contreras</w:t>
            </w:r>
            <w:r w:rsidRPr="00AB1C80">
              <w:rPr>
                <w:rFonts w:eastAsia="Times New Roman" w:cs="Arial"/>
                <w:color w:val="000000"/>
                <w:sz w:val="18"/>
                <w:szCs w:val="18"/>
                <w:lang w:eastAsia="es-CO"/>
              </w:rPr>
              <w:br/>
              <w:t>William Castillo</w:t>
            </w:r>
          </w:p>
        </w:tc>
        <w:tc>
          <w:tcPr>
            <w:tcW w:w="3726" w:type="dxa"/>
            <w:tcBorders>
              <w:top w:val="nil"/>
              <w:left w:val="nil"/>
              <w:bottom w:val="single" w:sz="4" w:space="0" w:color="auto"/>
              <w:right w:val="single" w:sz="4" w:space="0" w:color="auto"/>
            </w:tcBorders>
            <w:shd w:val="clear" w:color="auto" w:fill="auto"/>
            <w:vAlign w:val="center"/>
            <w:hideMark/>
          </w:tcPr>
          <w:p w14:paraId="6C50DC9A"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johana.contreras@uniminas.com.co</w:t>
            </w:r>
            <w:r w:rsidRPr="00AB1C80">
              <w:rPr>
                <w:rFonts w:eastAsia="Times New Roman" w:cs="Arial"/>
                <w:color w:val="000000"/>
                <w:sz w:val="18"/>
                <w:szCs w:val="18"/>
                <w:lang w:eastAsia="es-CO"/>
              </w:rPr>
              <w:br/>
              <w:t>william.castillo@uniminas.com.co</w:t>
            </w:r>
          </w:p>
        </w:tc>
        <w:tc>
          <w:tcPr>
            <w:tcW w:w="1369" w:type="dxa"/>
            <w:tcBorders>
              <w:top w:val="nil"/>
              <w:left w:val="nil"/>
              <w:bottom w:val="single" w:sz="4" w:space="0" w:color="auto"/>
              <w:right w:val="single" w:sz="4" w:space="0" w:color="auto"/>
            </w:tcBorders>
            <w:shd w:val="clear" w:color="auto" w:fill="auto"/>
            <w:noWrap/>
            <w:vAlign w:val="center"/>
            <w:hideMark/>
          </w:tcPr>
          <w:p w14:paraId="752BFE9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33D22658"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miércoles, 06 de octubre de 2021</w:t>
            </w:r>
          </w:p>
        </w:tc>
      </w:tr>
      <w:tr w:rsidR="000031C5" w:rsidRPr="00AB1C80" w14:paraId="7AEE7CC5"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7EC60BBC"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Cementos Argos</w:t>
            </w:r>
          </w:p>
        </w:tc>
        <w:tc>
          <w:tcPr>
            <w:tcW w:w="2145" w:type="dxa"/>
            <w:tcBorders>
              <w:top w:val="nil"/>
              <w:left w:val="nil"/>
              <w:bottom w:val="single" w:sz="4" w:space="0" w:color="auto"/>
              <w:right w:val="single" w:sz="4" w:space="0" w:color="auto"/>
            </w:tcBorders>
            <w:shd w:val="clear" w:color="auto" w:fill="auto"/>
            <w:vAlign w:val="center"/>
            <w:hideMark/>
          </w:tcPr>
          <w:p w14:paraId="0EBD1746"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Otoniel Salazar</w:t>
            </w:r>
            <w:r w:rsidRPr="00AB1C80">
              <w:rPr>
                <w:rFonts w:eastAsia="Times New Roman" w:cs="Arial"/>
                <w:color w:val="000000"/>
                <w:sz w:val="18"/>
                <w:szCs w:val="18"/>
                <w:lang w:eastAsia="es-CO"/>
              </w:rPr>
              <w:br/>
              <w:t>Fernando Cardona</w:t>
            </w:r>
          </w:p>
        </w:tc>
        <w:tc>
          <w:tcPr>
            <w:tcW w:w="3726" w:type="dxa"/>
            <w:tcBorders>
              <w:top w:val="nil"/>
              <w:left w:val="nil"/>
              <w:bottom w:val="single" w:sz="4" w:space="0" w:color="auto"/>
              <w:right w:val="single" w:sz="4" w:space="0" w:color="auto"/>
            </w:tcBorders>
            <w:shd w:val="clear" w:color="auto" w:fill="auto"/>
            <w:vAlign w:val="center"/>
            <w:hideMark/>
          </w:tcPr>
          <w:p w14:paraId="0732822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osalazar@argos.com.co</w:t>
            </w:r>
            <w:r w:rsidRPr="00AB1C80">
              <w:rPr>
                <w:rFonts w:eastAsia="Times New Roman" w:cs="Arial"/>
                <w:color w:val="000000"/>
                <w:sz w:val="18"/>
                <w:szCs w:val="18"/>
                <w:lang w:eastAsia="es-CO"/>
              </w:rPr>
              <w:br/>
              <w:t>lcardonae@argos.com.co</w:t>
            </w:r>
          </w:p>
        </w:tc>
        <w:tc>
          <w:tcPr>
            <w:tcW w:w="1369" w:type="dxa"/>
            <w:tcBorders>
              <w:top w:val="nil"/>
              <w:left w:val="nil"/>
              <w:bottom w:val="single" w:sz="4" w:space="0" w:color="auto"/>
              <w:right w:val="single" w:sz="4" w:space="0" w:color="auto"/>
            </w:tcBorders>
            <w:shd w:val="clear" w:color="auto" w:fill="auto"/>
            <w:noWrap/>
            <w:vAlign w:val="center"/>
            <w:hideMark/>
          </w:tcPr>
          <w:p w14:paraId="37B865C4"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3824E83F"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jueves, 07 de octubre de 2021</w:t>
            </w:r>
          </w:p>
        </w:tc>
      </w:tr>
      <w:tr w:rsidR="000031C5" w:rsidRPr="00AB1C80" w14:paraId="1ED97210"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2A358123"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Miraflores Compañía Minera S.A.S.</w:t>
            </w:r>
          </w:p>
        </w:tc>
        <w:tc>
          <w:tcPr>
            <w:tcW w:w="2145" w:type="dxa"/>
            <w:tcBorders>
              <w:top w:val="nil"/>
              <w:left w:val="nil"/>
              <w:bottom w:val="single" w:sz="4" w:space="0" w:color="auto"/>
              <w:right w:val="single" w:sz="4" w:space="0" w:color="auto"/>
            </w:tcBorders>
            <w:shd w:val="clear" w:color="auto" w:fill="auto"/>
            <w:vAlign w:val="center"/>
            <w:hideMark/>
          </w:tcPr>
          <w:p w14:paraId="61A7E106"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Ing. Darwin Hernández</w:t>
            </w:r>
          </w:p>
        </w:tc>
        <w:tc>
          <w:tcPr>
            <w:tcW w:w="3726" w:type="dxa"/>
            <w:tcBorders>
              <w:top w:val="nil"/>
              <w:left w:val="nil"/>
              <w:bottom w:val="single" w:sz="4" w:space="0" w:color="auto"/>
              <w:right w:val="single" w:sz="4" w:space="0" w:color="auto"/>
            </w:tcBorders>
            <w:shd w:val="clear" w:color="auto" w:fill="auto"/>
            <w:vAlign w:val="center"/>
            <w:hideMark/>
          </w:tcPr>
          <w:p w14:paraId="00707DB3"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d.hernandez@miraflores.co</w:t>
            </w:r>
          </w:p>
        </w:tc>
        <w:tc>
          <w:tcPr>
            <w:tcW w:w="1369" w:type="dxa"/>
            <w:tcBorders>
              <w:top w:val="nil"/>
              <w:left w:val="nil"/>
              <w:bottom w:val="single" w:sz="4" w:space="0" w:color="auto"/>
              <w:right w:val="single" w:sz="4" w:space="0" w:color="auto"/>
            </w:tcBorders>
            <w:shd w:val="clear" w:color="auto" w:fill="auto"/>
            <w:noWrap/>
            <w:vAlign w:val="center"/>
            <w:hideMark/>
          </w:tcPr>
          <w:p w14:paraId="7692D95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7AA81FD0"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viernes, 08 de octubre de 2021</w:t>
            </w:r>
          </w:p>
        </w:tc>
      </w:tr>
      <w:tr w:rsidR="000031C5" w:rsidRPr="00AB1C80" w14:paraId="084BDB64"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16F9A143"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Minera Las Brisas de Colombia S.A.S.</w:t>
            </w:r>
          </w:p>
        </w:tc>
        <w:tc>
          <w:tcPr>
            <w:tcW w:w="2145" w:type="dxa"/>
            <w:tcBorders>
              <w:top w:val="nil"/>
              <w:left w:val="nil"/>
              <w:bottom w:val="single" w:sz="4" w:space="0" w:color="auto"/>
              <w:right w:val="single" w:sz="4" w:space="0" w:color="auto"/>
            </w:tcBorders>
            <w:shd w:val="clear" w:color="auto" w:fill="auto"/>
            <w:vAlign w:val="center"/>
            <w:hideMark/>
          </w:tcPr>
          <w:p w14:paraId="01AC4BD4"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Jorge Gómez</w:t>
            </w:r>
          </w:p>
        </w:tc>
        <w:tc>
          <w:tcPr>
            <w:tcW w:w="3726" w:type="dxa"/>
            <w:tcBorders>
              <w:top w:val="nil"/>
              <w:left w:val="nil"/>
              <w:bottom w:val="single" w:sz="4" w:space="0" w:color="auto"/>
              <w:right w:val="single" w:sz="4" w:space="0" w:color="auto"/>
            </w:tcBorders>
            <w:shd w:val="clear" w:color="auto" w:fill="auto"/>
            <w:vAlign w:val="center"/>
            <w:hideMark/>
          </w:tcPr>
          <w:p w14:paraId="49E5B83E"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jorgegomez8888@yahoo.com</w:t>
            </w:r>
          </w:p>
        </w:tc>
        <w:tc>
          <w:tcPr>
            <w:tcW w:w="1369" w:type="dxa"/>
            <w:tcBorders>
              <w:top w:val="nil"/>
              <w:left w:val="nil"/>
              <w:bottom w:val="single" w:sz="4" w:space="0" w:color="auto"/>
              <w:right w:val="single" w:sz="4" w:space="0" w:color="auto"/>
            </w:tcBorders>
            <w:shd w:val="clear" w:color="auto" w:fill="auto"/>
            <w:noWrap/>
            <w:vAlign w:val="center"/>
            <w:hideMark/>
          </w:tcPr>
          <w:p w14:paraId="0CD9ED28"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1F6BDEB7"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martes, 12 de octubre de 2021</w:t>
            </w:r>
          </w:p>
        </w:tc>
      </w:tr>
      <w:tr w:rsidR="000031C5" w:rsidRPr="00AB1C80" w14:paraId="7E14ED46"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612C34B0"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Fundación San Antonio</w:t>
            </w:r>
          </w:p>
        </w:tc>
        <w:tc>
          <w:tcPr>
            <w:tcW w:w="2145" w:type="dxa"/>
            <w:tcBorders>
              <w:top w:val="nil"/>
              <w:left w:val="nil"/>
              <w:bottom w:val="single" w:sz="4" w:space="0" w:color="auto"/>
              <w:right w:val="single" w:sz="4" w:space="0" w:color="auto"/>
            </w:tcBorders>
            <w:shd w:val="clear" w:color="auto" w:fill="auto"/>
            <w:vAlign w:val="center"/>
            <w:hideMark/>
          </w:tcPr>
          <w:p w14:paraId="77EE27F7"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Kenny Lavacude Parra</w:t>
            </w:r>
          </w:p>
        </w:tc>
        <w:tc>
          <w:tcPr>
            <w:tcW w:w="3726" w:type="dxa"/>
            <w:tcBorders>
              <w:top w:val="nil"/>
              <w:left w:val="nil"/>
              <w:bottom w:val="single" w:sz="4" w:space="0" w:color="auto"/>
              <w:right w:val="single" w:sz="4" w:space="0" w:color="auto"/>
            </w:tcBorders>
            <w:shd w:val="clear" w:color="auto" w:fill="auto"/>
            <w:vAlign w:val="center"/>
            <w:hideMark/>
          </w:tcPr>
          <w:p w14:paraId="06801B61"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direccionejecutiva@fundacionsanantonio.org</w:t>
            </w:r>
          </w:p>
        </w:tc>
        <w:tc>
          <w:tcPr>
            <w:tcW w:w="1369" w:type="dxa"/>
            <w:tcBorders>
              <w:top w:val="nil"/>
              <w:left w:val="nil"/>
              <w:bottom w:val="single" w:sz="4" w:space="0" w:color="auto"/>
              <w:right w:val="single" w:sz="4" w:space="0" w:color="auto"/>
            </w:tcBorders>
            <w:shd w:val="clear" w:color="auto" w:fill="auto"/>
            <w:noWrap/>
            <w:vAlign w:val="center"/>
            <w:hideMark/>
          </w:tcPr>
          <w:p w14:paraId="7BA71A66"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54ACA3CE"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viernes, 15 de octubre de 2021</w:t>
            </w:r>
          </w:p>
        </w:tc>
      </w:tr>
      <w:tr w:rsidR="000031C5" w:rsidRPr="00AB1C80" w14:paraId="0A25A9F0"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03DF95A9"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Gran Colombia Gold Segovia S.A.</w:t>
            </w:r>
          </w:p>
        </w:tc>
        <w:tc>
          <w:tcPr>
            <w:tcW w:w="2145" w:type="dxa"/>
            <w:tcBorders>
              <w:top w:val="nil"/>
              <w:left w:val="nil"/>
              <w:bottom w:val="single" w:sz="4" w:space="0" w:color="auto"/>
              <w:right w:val="single" w:sz="4" w:space="0" w:color="auto"/>
            </w:tcBorders>
            <w:shd w:val="clear" w:color="auto" w:fill="auto"/>
            <w:vAlign w:val="center"/>
            <w:hideMark/>
          </w:tcPr>
          <w:p w14:paraId="337D385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Ing. Erwin Wolff Carreño</w:t>
            </w:r>
            <w:r w:rsidRPr="00AB1C80">
              <w:rPr>
                <w:rFonts w:eastAsia="Times New Roman" w:cs="Arial"/>
                <w:color w:val="000000"/>
                <w:sz w:val="18"/>
                <w:szCs w:val="18"/>
                <w:lang w:eastAsia="es-CO"/>
              </w:rPr>
              <w:br/>
              <w:t>José Ignacio Noguera</w:t>
            </w:r>
            <w:r w:rsidRPr="00AB1C80">
              <w:rPr>
                <w:rFonts w:eastAsia="Times New Roman" w:cs="Arial"/>
                <w:color w:val="000000"/>
                <w:sz w:val="18"/>
                <w:szCs w:val="18"/>
                <w:lang w:eastAsia="es-CO"/>
              </w:rPr>
              <w:br/>
              <w:t>Ana Karina Morales</w:t>
            </w:r>
          </w:p>
        </w:tc>
        <w:tc>
          <w:tcPr>
            <w:tcW w:w="3726" w:type="dxa"/>
            <w:tcBorders>
              <w:top w:val="nil"/>
              <w:left w:val="nil"/>
              <w:bottom w:val="single" w:sz="4" w:space="0" w:color="auto"/>
              <w:right w:val="single" w:sz="4" w:space="0" w:color="auto"/>
            </w:tcBorders>
            <w:shd w:val="clear" w:color="auto" w:fill="auto"/>
            <w:vAlign w:val="center"/>
            <w:hideMark/>
          </w:tcPr>
          <w:p w14:paraId="65E7CB3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erwin.wolff@grancolombiagold.com.co</w:t>
            </w:r>
            <w:r w:rsidRPr="00AB1C80">
              <w:rPr>
                <w:rFonts w:eastAsia="Times New Roman" w:cs="Arial"/>
                <w:color w:val="000000"/>
                <w:sz w:val="18"/>
                <w:szCs w:val="18"/>
                <w:lang w:eastAsia="es-CO"/>
              </w:rPr>
              <w:br/>
              <w:t>jnoguera@grancolombiagold.com</w:t>
            </w:r>
            <w:r w:rsidRPr="00AB1C80">
              <w:rPr>
                <w:rFonts w:eastAsia="Times New Roman" w:cs="Arial"/>
                <w:color w:val="000000"/>
                <w:sz w:val="18"/>
                <w:szCs w:val="18"/>
                <w:lang w:eastAsia="es-CO"/>
              </w:rPr>
              <w:br/>
              <w:t>ana.morales@grancolombiagold.com</w:t>
            </w:r>
          </w:p>
        </w:tc>
        <w:tc>
          <w:tcPr>
            <w:tcW w:w="1369" w:type="dxa"/>
            <w:tcBorders>
              <w:top w:val="nil"/>
              <w:left w:val="nil"/>
              <w:bottom w:val="single" w:sz="4" w:space="0" w:color="auto"/>
              <w:right w:val="single" w:sz="4" w:space="0" w:color="auto"/>
            </w:tcBorders>
            <w:shd w:val="clear" w:color="auto" w:fill="auto"/>
            <w:noWrap/>
            <w:vAlign w:val="center"/>
            <w:hideMark/>
          </w:tcPr>
          <w:p w14:paraId="086C7DEA"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45272790"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martes, 19 de octubre de 2021</w:t>
            </w:r>
          </w:p>
        </w:tc>
      </w:tr>
      <w:tr w:rsidR="000031C5" w:rsidRPr="00AB1C80" w14:paraId="0D59CFA8"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61F521DE"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Cemex Colombia S.A.</w:t>
            </w:r>
          </w:p>
        </w:tc>
        <w:tc>
          <w:tcPr>
            <w:tcW w:w="2145" w:type="dxa"/>
            <w:tcBorders>
              <w:top w:val="nil"/>
              <w:left w:val="nil"/>
              <w:bottom w:val="single" w:sz="4" w:space="0" w:color="auto"/>
              <w:right w:val="single" w:sz="4" w:space="0" w:color="auto"/>
            </w:tcBorders>
            <w:shd w:val="clear" w:color="auto" w:fill="auto"/>
            <w:vAlign w:val="center"/>
            <w:hideMark/>
          </w:tcPr>
          <w:p w14:paraId="14213F0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Jonny Danilo Fandiño González</w:t>
            </w:r>
          </w:p>
        </w:tc>
        <w:tc>
          <w:tcPr>
            <w:tcW w:w="3726" w:type="dxa"/>
            <w:tcBorders>
              <w:top w:val="nil"/>
              <w:left w:val="nil"/>
              <w:bottom w:val="single" w:sz="4" w:space="0" w:color="auto"/>
              <w:right w:val="single" w:sz="4" w:space="0" w:color="auto"/>
            </w:tcBorders>
            <w:shd w:val="clear" w:color="auto" w:fill="auto"/>
            <w:vAlign w:val="center"/>
            <w:hideMark/>
          </w:tcPr>
          <w:p w14:paraId="5A7ADEC8"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jonnydanilo.fandino@cemex.com</w:t>
            </w:r>
          </w:p>
        </w:tc>
        <w:tc>
          <w:tcPr>
            <w:tcW w:w="1369" w:type="dxa"/>
            <w:tcBorders>
              <w:top w:val="nil"/>
              <w:left w:val="nil"/>
              <w:bottom w:val="single" w:sz="4" w:space="0" w:color="auto"/>
              <w:right w:val="single" w:sz="4" w:space="0" w:color="auto"/>
            </w:tcBorders>
            <w:shd w:val="clear" w:color="auto" w:fill="auto"/>
            <w:noWrap/>
            <w:vAlign w:val="center"/>
            <w:hideMark/>
          </w:tcPr>
          <w:p w14:paraId="36C17B3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559" w:type="dxa"/>
            <w:tcBorders>
              <w:top w:val="nil"/>
              <w:left w:val="nil"/>
              <w:bottom w:val="single" w:sz="4" w:space="0" w:color="auto"/>
              <w:right w:val="single" w:sz="4" w:space="0" w:color="auto"/>
            </w:tcBorders>
            <w:shd w:val="clear" w:color="auto" w:fill="auto"/>
            <w:vAlign w:val="center"/>
            <w:hideMark/>
          </w:tcPr>
          <w:p w14:paraId="379FED27"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miércoles, 20 de octubre de 2021</w:t>
            </w:r>
          </w:p>
        </w:tc>
      </w:tr>
      <w:tr w:rsidR="000031C5" w:rsidRPr="00AB1C80" w14:paraId="4D9CE4E3"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49801561"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Mineros S.A.</w:t>
            </w:r>
          </w:p>
        </w:tc>
        <w:tc>
          <w:tcPr>
            <w:tcW w:w="2145" w:type="dxa"/>
            <w:tcBorders>
              <w:top w:val="nil"/>
              <w:left w:val="nil"/>
              <w:bottom w:val="single" w:sz="4" w:space="0" w:color="auto"/>
              <w:right w:val="single" w:sz="4" w:space="0" w:color="auto"/>
            </w:tcBorders>
            <w:shd w:val="clear" w:color="auto" w:fill="auto"/>
            <w:vAlign w:val="center"/>
            <w:hideMark/>
          </w:tcPr>
          <w:p w14:paraId="51C110AA"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Jhan Carlo Martínez</w:t>
            </w:r>
            <w:r w:rsidRPr="00AB1C80">
              <w:rPr>
                <w:rFonts w:eastAsia="Times New Roman" w:cs="Arial"/>
                <w:color w:val="000000"/>
                <w:sz w:val="18"/>
                <w:szCs w:val="18"/>
                <w:lang w:eastAsia="es-CO"/>
              </w:rPr>
              <w:br/>
              <w:t>Carlos Alberto Londoño</w:t>
            </w:r>
          </w:p>
        </w:tc>
        <w:tc>
          <w:tcPr>
            <w:tcW w:w="3726" w:type="dxa"/>
            <w:tcBorders>
              <w:top w:val="nil"/>
              <w:left w:val="nil"/>
              <w:bottom w:val="single" w:sz="4" w:space="0" w:color="auto"/>
              <w:right w:val="single" w:sz="4" w:space="0" w:color="auto"/>
            </w:tcBorders>
            <w:shd w:val="clear" w:color="auto" w:fill="auto"/>
            <w:vAlign w:val="center"/>
            <w:hideMark/>
          </w:tcPr>
          <w:p w14:paraId="76A92F35"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jhan.martinez@mineros.com.co</w:t>
            </w:r>
            <w:r w:rsidRPr="00AB1C80">
              <w:rPr>
                <w:rFonts w:eastAsia="Times New Roman" w:cs="Arial"/>
                <w:color w:val="000000"/>
                <w:sz w:val="18"/>
                <w:szCs w:val="18"/>
                <w:lang w:eastAsia="es-CO"/>
              </w:rPr>
              <w:br/>
              <w:t>carlos.londono@mineros.com.co</w:t>
            </w:r>
          </w:p>
        </w:tc>
        <w:tc>
          <w:tcPr>
            <w:tcW w:w="1369" w:type="dxa"/>
            <w:tcBorders>
              <w:top w:val="nil"/>
              <w:left w:val="nil"/>
              <w:bottom w:val="single" w:sz="4" w:space="0" w:color="auto"/>
              <w:right w:val="single" w:sz="4" w:space="0" w:color="auto"/>
            </w:tcBorders>
            <w:shd w:val="clear" w:color="auto" w:fill="auto"/>
            <w:noWrap/>
            <w:vAlign w:val="center"/>
            <w:hideMark/>
          </w:tcPr>
          <w:p w14:paraId="53850235"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w:t>
            </w:r>
          </w:p>
        </w:tc>
        <w:tc>
          <w:tcPr>
            <w:tcW w:w="1559" w:type="dxa"/>
            <w:tcBorders>
              <w:top w:val="nil"/>
              <w:left w:val="nil"/>
              <w:bottom w:val="single" w:sz="4" w:space="0" w:color="auto"/>
              <w:right w:val="single" w:sz="4" w:space="0" w:color="auto"/>
            </w:tcBorders>
            <w:shd w:val="clear" w:color="auto" w:fill="auto"/>
            <w:vAlign w:val="center"/>
            <w:hideMark/>
          </w:tcPr>
          <w:p w14:paraId="30B29222"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jueves, 28 de octubre de 2021</w:t>
            </w:r>
          </w:p>
        </w:tc>
      </w:tr>
      <w:tr w:rsidR="000031C5" w:rsidRPr="00AB1C80" w14:paraId="584F08FE"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1705BDB2"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Acerías Paz del Río S.A.</w:t>
            </w:r>
          </w:p>
        </w:tc>
        <w:tc>
          <w:tcPr>
            <w:tcW w:w="2145" w:type="dxa"/>
            <w:tcBorders>
              <w:top w:val="nil"/>
              <w:left w:val="nil"/>
              <w:bottom w:val="single" w:sz="4" w:space="0" w:color="auto"/>
              <w:right w:val="single" w:sz="4" w:space="0" w:color="auto"/>
            </w:tcBorders>
            <w:shd w:val="clear" w:color="auto" w:fill="auto"/>
            <w:vAlign w:val="center"/>
            <w:hideMark/>
          </w:tcPr>
          <w:p w14:paraId="524B1859" w14:textId="015F62E4"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Sayda Zambrano</w:t>
            </w:r>
            <w:r w:rsidRPr="00AB1C80">
              <w:rPr>
                <w:rFonts w:eastAsia="Times New Roman" w:cs="Arial"/>
                <w:color w:val="000000"/>
                <w:sz w:val="18"/>
                <w:szCs w:val="18"/>
                <w:lang w:eastAsia="es-CO"/>
              </w:rPr>
              <w:br/>
              <w:t>Luis Henry Navarrete</w:t>
            </w:r>
            <w:r w:rsidRPr="00AB1C80">
              <w:rPr>
                <w:rFonts w:eastAsia="Times New Roman" w:cs="Arial"/>
                <w:color w:val="000000"/>
                <w:sz w:val="18"/>
                <w:szCs w:val="18"/>
                <w:lang w:eastAsia="es-CO"/>
              </w:rPr>
              <w:br/>
              <w:t>Jairo Alonso Pérez</w:t>
            </w:r>
          </w:p>
        </w:tc>
        <w:tc>
          <w:tcPr>
            <w:tcW w:w="3726" w:type="dxa"/>
            <w:tcBorders>
              <w:top w:val="nil"/>
              <w:left w:val="nil"/>
              <w:bottom w:val="single" w:sz="4" w:space="0" w:color="auto"/>
              <w:right w:val="single" w:sz="4" w:space="0" w:color="auto"/>
            </w:tcBorders>
            <w:shd w:val="clear" w:color="auto" w:fill="auto"/>
            <w:vAlign w:val="center"/>
            <w:hideMark/>
          </w:tcPr>
          <w:p w14:paraId="25F20180"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luz.zambrano@pazdelrio.com.co</w:t>
            </w:r>
            <w:r w:rsidRPr="00AB1C80">
              <w:rPr>
                <w:rFonts w:eastAsia="Times New Roman" w:cs="Arial"/>
                <w:color w:val="000000"/>
                <w:sz w:val="18"/>
                <w:szCs w:val="18"/>
                <w:lang w:eastAsia="es-CO"/>
              </w:rPr>
              <w:br/>
              <w:t>luis.navarrete@pazdelrio.com.co</w:t>
            </w:r>
            <w:r w:rsidRPr="00AB1C80">
              <w:rPr>
                <w:rFonts w:eastAsia="Times New Roman" w:cs="Arial"/>
                <w:color w:val="000000"/>
                <w:sz w:val="18"/>
                <w:szCs w:val="18"/>
                <w:lang w:eastAsia="es-CO"/>
              </w:rPr>
              <w:br/>
              <w:t>jairo.perez.jp1@pazdelrio.com.co</w:t>
            </w:r>
          </w:p>
        </w:tc>
        <w:tc>
          <w:tcPr>
            <w:tcW w:w="1369" w:type="dxa"/>
            <w:tcBorders>
              <w:top w:val="nil"/>
              <w:left w:val="nil"/>
              <w:bottom w:val="single" w:sz="4" w:space="0" w:color="auto"/>
              <w:right w:val="single" w:sz="4" w:space="0" w:color="auto"/>
            </w:tcBorders>
            <w:shd w:val="clear" w:color="auto" w:fill="auto"/>
            <w:vAlign w:val="center"/>
            <w:hideMark/>
          </w:tcPr>
          <w:p w14:paraId="503045F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 por establecer fecha</w:t>
            </w:r>
          </w:p>
        </w:tc>
        <w:tc>
          <w:tcPr>
            <w:tcW w:w="1559" w:type="dxa"/>
            <w:tcBorders>
              <w:top w:val="nil"/>
              <w:left w:val="nil"/>
              <w:bottom w:val="single" w:sz="4" w:space="0" w:color="auto"/>
              <w:right w:val="single" w:sz="4" w:space="0" w:color="auto"/>
            </w:tcBorders>
            <w:shd w:val="clear" w:color="auto" w:fill="auto"/>
            <w:vAlign w:val="center"/>
            <w:hideMark/>
          </w:tcPr>
          <w:p w14:paraId="66F82276"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r w:rsidR="000031C5" w:rsidRPr="00AB1C80" w14:paraId="162ECADA"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6B18E957"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Continental Gold Ltd.</w:t>
            </w:r>
          </w:p>
        </w:tc>
        <w:tc>
          <w:tcPr>
            <w:tcW w:w="2145" w:type="dxa"/>
            <w:tcBorders>
              <w:top w:val="nil"/>
              <w:left w:val="nil"/>
              <w:bottom w:val="single" w:sz="4" w:space="0" w:color="auto"/>
              <w:right w:val="single" w:sz="4" w:space="0" w:color="auto"/>
            </w:tcBorders>
            <w:shd w:val="clear" w:color="auto" w:fill="auto"/>
            <w:vAlign w:val="center"/>
            <w:hideMark/>
          </w:tcPr>
          <w:p w14:paraId="35BC8C1E"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Mónica Pinzón</w:t>
            </w:r>
            <w:r w:rsidRPr="00AB1C80">
              <w:rPr>
                <w:rFonts w:eastAsia="Times New Roman" w:cs="Arial"/>
                <w:color w:val="000000"/>
                <w:sz w:val="18"/>
                <w:szCs w:val="18"/>
                <w:lang w:eastAsia="es-CO"/>
              </w:rPr>
              <w:br/>
              <w:t>Sergio Petro</w:t>
            </w:r>
          </w:p>
        </w:tc>
        <w:tc>
          <w:tcPr>
            <w:tcW w:w="3726" w:type="dxa"/>
            <w:tcBorders>
              <w:top w:val="nil"/>
              <w:left w:val="nil"/>
              <w:bottom w:val="single" w:sz="4" w:space="0" w:color="auto"/>
              <w:right w:val="single" w:sz="4" w:space="0" w:color="auto"/>
            </w:tcBorders>
            <w:shd w:val="clear" w:color="auto" w:fill="auto"/>
            <w:vAlign w:val="center"/>
            <w:hideMark/>
          </w:tcPr>
          <w:p w14:paraId="1D5828C0"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monica.pinzon@continentalgold.com</w:t>
            </w:r>
            <w:r w:rsidRPr="00AB1C80">
              <w:rPr>
                <w:rFonts w:eastAsia="Times New Roman" w:cs="Arial"/>
                <w:color w:val="000000"/>
                <w:sz w:val="18"/>
                <w:szCs w:val="18"/>
                <w:lang w:eastAsia="es-CO"/>
              </w:rPr>
              <w:br/>
              <w:t>sergio.petro@continentalgold.com</w:t>
            </w:r>
          </w:p>
        </w:tc>
        <w:tc>
          <w:tcPr>
            <w:tcW w:w="1369" w:type="dxa"/>
            <w:tcBorders>
              <w:top w:val="nil"/>
              <w:left w:val="nil"/>
              <w:bottom w:val="single" w:sz="4" w:space="0" w:color="auto"/>
              <w:right w:val="single" w:sz="4" w:space="0" w:color="auto"/>
            </w:tcBorders>
            <w:shd w:val="clear" w:color="auto" w:fill="auto"/>
            <w:vAlign w:val="center"/>
            <w:hideMark/>
          </w:tcPr>
          <w:p w14:paraId="5A201D06"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559" w:type="dxa"/>
            <w:tcBorders>
              <w:top w:val="nil"/>
              <w:left w:val="nil"/>
              <w:bottom w:val="single" w:sz="4" w:space="0" w:color="auto"/>
              <w:right w:val="single" w:sz="4" w:space="0" w:color="auto"/>
            </w:tcBorders>
            <w:shd w:val="clear" w:color="auto" w:fill="auto"/>
            <w:vAlign w:val="center"/>
            <w:hideMark/>
          </w:tcPr>
          <w:p w14:paraId="1D064FC4"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r w:rsidR="000031C5" w:rsidRPr="00AB1C80" w14:paraId="5EFF80E5"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1C28CCF6"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Antioquia Gold Ltd.</w:t>
            </w:r>
          </w:p>
        </w:tc>
        <w:tc>
          <w:tcPr>
            <w:tcW w:w="2145" w:type="dxa"/>
            <w:tcBorders>
              <w:top w:val="nil"/>
              <w:left w:val="nil"/>
              <w:bottom w:val="single" w:sz="4" w:space="0" w:color="auto"/>
              <w:right w:val="single" w:sz="4" w:space="0" w:color="auto"/>
            </w:tcBorders>
            <w:shd w:val="clear" w:color="auto" w:fill="auto"/>
            <w:vAlign w:val="center"/>
            <w:hideMark/>
          </w:tcPr>
          <w:p w14:paraId="644BC2F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Ing. Julián Villaruel</w:t>
            </w:r>
          </w:p>
        </w:tc>
        <w:tc>
          <w:tcPr>
            <w:tcW w:w="3726" w:type="dxa"/>
            <w:tcBorders>
              <w:top w:val="nil"/>
              <w:left w:val="nil"/>
              <w:bottom w:val="single" w:sz="4" w:space="0" w:color="auto"/>
              <w:right w:val="single" w:sz="4" w:space="0" w:color="auto"/>
            </w:tcBorders>
            <w:shd w:val="clear" w:color="auto" w:fill="auto"/>
            <w:vAlign w:val="center"/>
            <w:hideMark/>
          </w:tcPr>
          <w:p w14:paraId="4982A5FD"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jvillarruel@antioquiagold.com</w:t>
            </w:r>
          </w:p>
        </w:tc>
        <w:tc>
          <w:tcPr>
            <w:tcW w:w="1369" w:type="dxa"/>
            <w:tcBorders>
              <w:top w:val="nil"/>
              <w:left w:val="nil"/>
              <w:bottom w:val="single" w:sz="4" w:space="0" w:color="auto"/>
              <w:right w:val="single" w:sz="4" w:space="0" w:color="auto"/>
            </w:tcBorders>
            <w:shd w:val="clear" w:color="auto" w:fill="auto"/>
            <w:vAlign w:val="center"/>
            <w:hideMark/>
          </w:tcPr>
          <w:p w14:paraId="3426C037"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559" w:type="dxa"/>
            <w:tcBorders>
              <w:top w:val="nil"/>
              <w:left w:val="nil"/>
              <w:bottom w:val="single" w:sz="4" w:space="0" w:color="auto"/>
              <w:right w:val="single" w:sz="4" w:space="0" w:color="auto"/>
            </w:tcBorders>
            <w:shd w:val="clear" w:color="auto" w:fill="auto"/>
            <w:vAlign w:val="center"/>
            <w:hideMark/>
          </w:tcPr>
          <w:p w14:paraId="4DA8C7A2"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r w:rsidR="000031C5" w:rsidRPr="00AB1C80" w14:paraId="092F87FD"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0B00B261"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Carbones del Cerrejón Ltd.</w:t>
            </w:r>
          </w:p>
        </w:tc>
        <w:tc>
          <w:tcPr>
            <w:tcW w:w="2145" w:type="dxa"/>
            <w:tcBorders>
              <w:top w:val="nil"/>
              <w:left w:val="nil"/>
              <w:bottom w:val="single" w:sz="4" w:space="0" w:color="auto"/>
              <w:right w:val="single" w:sz="4" w:space="0" w:color="auto"/>
            </w:tcBorders>
            <w:shd w:val="clear" w:color="auto" w:fill="auto"/>
            <w:vAlign w:val="center"/>
            <w:hideMark/>
          </w:tcPr>
          <w:p w14:paraId="34C7D6E8" w14:textId="0F6D81B3"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Amel Hernández</w:t>
            </w:r>
            <w:r w:rsidRPr="00AB1C80">
              <w:rPr>
                <w:rFonts w:eastAsia="Times New Roman" w:cs="Arial"/>
                <w:color w:val="000000"/>
                <w:sz w:val="18"/>
                <w:szCs w:val="18"/>
                <w:lang w:eastAsia="es-CO"/>
              </w:rPr>
              <w:br/>
              <w:t>Javier Muñoz</w:t>
            </w:r>
            <w:r w:rsidRPr="00AB1C80">
              <w:rPr>
                <w:rFonts w:eastAsia="Times New Roman" w:cs="Arial"/>
                <w:color w:val="000000"/>
                <w:sz w:val="18"/>
                <w:szCs w:val="18"/>
                <w:lang w:eastAsia="es-CO"/>
              </w:rPr>
              <w:br/>
              <w:t>Cielo Acosta</w:t>
            </w:r>
          </w:p>
        </w:tc>
        <w:tc>
          <w:tcPr>
            <w:tcW w:w="3726" w:type="dxa"/>
            <w:tcBorders>
              <w:top w:val="nil"/>
              <w:left w:val="nil"/>
              <w:bottom w:val="single" w:sz="4" w:space="0" w:color="auto"/>
              <w:right w:val="single" w:sz="4" w:space="0" w:color="auto"/>
            </w:tcBorders>
            <w:shd w:val="clear" w:color="auto" w:fill="auto"/>
            <w:vAlign w:val="center"/>
            <w:hideMark/>
          </w:tcPr>
          <w:p w14:paraId="718C4770"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cielo.acosta@cerrejon.com</w:t>
            </w:r>
          </w:p>
        </w:tc>
        <w:tc>
          <w:tcPr>
            <w:tcW w:w="1369" w:type="dxa"/>
            <w:tcBorders>
              <w:top w:val="nil"/>
              <w:left w:val="nil"/>
              <w:bottom w:val="single" w:sz="4" w:space="0" w:color="auto"/>
              <w:right w:val="single" w:sz="4" w:space="0" w:color="auto"/>
            </w:tcBorders>
            <w:shd w:val="clear" w:color="auto" w:fill="auto"/>
            <w:vAlign w:val="center"/>
            <w:hideMark/>
          </w:tcPr>
          <w:p w14:paraId="2D9D86A1"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559" w:type="dxa"/>
            <w:tcBorders>
              <w:top w:val="nil"/>
              <w:left w:val="nil"/>
              <w:bottom w:val="single" w:sz="4" w:space="0" w:color="auto"/>
              <w:right w:val="single" w:sz="4" w:space="0" w:color="auto"/>
            </w:tcBorders>
            <w:shd w:val="clear" w:color="auto" w:fill="auto"/>
            <w:vAlign w:val="center"/>
            <w:hideMark/>
          </w:tcPr>
          <w:p w14:paraId="0F429A8B"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r w:rsidR="000031C5" w:rsidRPr="00AB1C80" w14:paraId="57159E72"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7F809EF1"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Cerro Matoso S.A.</w:t>
            </w:r>
          </w:p>
        </w:tc>
        <w:tc>
          <w:tcPr>
            <w:tcW w:w="2145" w:type="dxa"/>
            <w:tcBorders>
              <w:top w:val="nil"/>
              <w:left w:val="nil"/>
              <w:bottom w:val="single" w:sz="4" w:space="0" w:color="auto"/>
              <w:right w:val="single" w:sz="4" w:space="0" w:color="auto"/>
            </w:tcBorders>
            <w:shd w:val="clear" w:color="auto" w:fill="auto"/>
            <w:vAlign w:val="center"/>
            <w:hideMark/>
          </w:tcPr>
          <w:p w14:paraId="045E7FF0"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Joyce A. Nessin</w:t>
            </w:r>
          </w:p>
        </w:tc>
        <w:tc>
          <w:tcPr>
            <w:tcW w:w="3726" w:type="dxa"/>
            <w:tcBorders>
              <w:top w:val="nil"/>
              <w:left w:val="nil"/>
              <w:bottom w:val="single" w:sz="4" w:space="0" w:color="auto"/>
              <w:right w:val="single" w:sz="4" w:space="0" w:color="auto"/>
            </w:tcBorders>
            <w:shd w:val="clear" w:color="auto" w:fill="auto"/>
            <w:vAlign w:val="center"/>
            <w:hideMark/>
          </w:tcPr>
          <w:p w14:paraId="385EBB62"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joyce.a.nessin@south32.net</w:t>
            </w:r>
          </w:p>
        </w:tc>
        <w:tc>
          <w:tcPr>
            <w:tcW w:w="1369" w:type="dxa"/>
            <w:tcBorders>
              <w:top w:val="nil"/>
              <w:left w:val="nil"/>
              <w:bottom w:val="single" w:sz="4" w:space="0" w:color="auto"/>
              <w:right w:val="single" w:sz="4" w:space="0" w:color="auto"/>
            </w:tcBorders>
            <w:shd w:val="clear" w:color="auto" w:fill="auto"/>
            <w:vAlign w:val="center"/>
            <w:hideMark/>
          </w:tcPr>
          <w:p w14:paraId="254763FD"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559" w:type="dxa"/>
            <w:tcBorders>
              <w:top w:val="nil"/>
              <w:left w:val="nil"/>
              <w:bottom w:val="single" w:sz="4" w:space="0" w:color="auto"/>
              <w:right w:val="single" w:sz="4" w:space="0" w:color="auto"/>
            </w:tcBorders>
            <w:shd w:val="clear" w:color="auto" w:fill="auto"/>
            <w:vAlign w:val="center"/>
            <w:hideMark/>
          </w:tcPr>
          <w:p w14:paraId="3ED39C07"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r w:rsidR="000031C5" w:rsidRPr="00AB1C80" w14:paraId="476D6D17" w14:textId="77777777" w:rsidTr="000A59FD">
        <w:trPr>
          <w:trHeight w:val="20"/>
          <w:jc w:val="center"/>
        </w:trPr>
        <w:tc>
          <w:tcPr>
            <w:tcW w:w="1833" w:type="dxa"/>
            <w:tcBorders>
              <w:top w:val="nil"/>
              <w:left w:val="single" w:sz="4" w:space="0" w:color="auto"/>
              <w:bottom w:val="single" w:sz="4" w:space="0" w:color="auto"/>
              <w:right w:val="single" w:sz="4" w:space="0" w:color="auto"/>
            </w:tcBorders>
            <w:shd w:val="clear" w:color="auto" w:fill="auto"/>
            <w:vAlign w:val="center"/>
            <w:hideMark/>
          </w:tcPr>
          <w:p w14:paraId="736C5673"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Miner S.A.</w:t>
            </w:r>
          </w:p>
        </w:tc>
        <w:tc>
          <w:tcPr>
            <w:tcW w:w="2145" w:type="dxa"/>
            <w:tcBorders>
              <w:top w:val="nil"/>
              <w:left w:val="nil"/>
              <w:bottom w:val="single" w:sz="4" w:space="0" w:color="auto"/>
              <w:right w:val="single" w:sz="4" w:space="0" w:color="auto"/>
            </w:tcBorders>
            <w:shd w:val="clear" w:color="auto" w:fill="auto"/>
            <w:vAlign w:val="center"/>
            <w:hideMark/>
          </w:tcPr>
          <w:p w14:paraId="1E3D6E38"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Angelica María Ríos</w:t>
            </w:r>
            <w:r w:rsidRPr="00AB1C80">
              <w:rPr>
                <w:rFonts w:eastAsia="Times New Roman" w:cs="Arial"/>
                <w:color w:val="000000"/>
                <w:sz w:val="18"/>
                <w:szCs w:val="18"/>
                <w:lang w:eastAsia="es-CO"/>
              </w:rPr>
              <w:br/>
              <w:t>Diego Márquez</w:t>
            </w:r>
          </w:p>
        </w:tc>
        <w:tc>
          <w:tcPr>
            <w:tcW w:w="3726" w:type="dxa"/>
            <w:tcBorders>
              <w:top w:val="nil"/>
              <w:left w:val="nil"/>
              <w:bottom w:val="single" w:sz="4" w:space="0" w:color="auto"/>
              <w:right w:val="single" w:sz="4" w:space="0" w:color="auto"/>
            </w:tcBorders>
            <w:shd w:val="clear" w:color="auto" w:fill="auto"/>
            <w:vAlign w:val="center"/>
            <w:hideMark/>
          </w:tcPr>
          <w:p w14:paraId="35BA184F"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arios@miner.com.co</w:t>
            </w:r>
            <w:r w:rsidRPr="00AB1C80">
              <w:rPr>
                <w:rFonts w:eastAsia="Times New Roman" w:cs="Arial"/>
                <w:color w:val="000000"/>
                <w:sz w:val="18"/>
                <w:szCs w:val="18"/>
                <w:lang w:eastAsia="es-CO"/>
              </w:rPr>
              <w:br/>
              <w:t>dmarquez@miner.com.co</w:t>
            </w:r>
          </w:p>
        </w:tc>
        <w:tc>
          <w:tcPr>
            <w:tcW w:w="1369" w:type="dxa"/>
            <w:tcBorders>
              <w:top w:val="nil"/>
              <w:left w:val="nil"/>
              <w:bottom w:val="single" w:sz="4" w:space="0" w:color="auto"/>
              <w:right w:val="single" w:sz="4" w:space="0" w:color="auto"/>
            </w:tcBorders>
            <w:shd w:val="clear" w:color="auto" w:fill="auto"/>
            <w:vAlign w:val="center"/>
            <w:hideMark/>
          </w:tcPr>
          <w:p w14:paraId="3F4370DB" w14:textId="77777777" w:rsidR="002B6DE6" w:rsidRPr="00AB1C80" w:rsidRDefault="002B6DE6"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559" w:type="dxa"/>
            <w:tcBorders>
              <w:top w:val="nil"/>
              <w:left w:val="nil"/>
              <w:bottom w:val="single" w:sz="4" w:space="0" w:color="auto"/>
              <w:right w:val="single" w:sz="4" w:space="0" w:color="auto"/>
            </w:tcBorders>
            <w:shd w:val="clear" w:color="auto" w:fill="auto"/>
            <w:vAlign w:val="center"/>
            <w:hideMark/>
          </w:tcPr>
          <w:p w14:paraId="194D5974" w14:textId="77777777" w:rsidR="002B6DE6" w:rsidRPr="00AB1C80" w:rsidRDefault="002B6DE6" w:rsidP="00AB1C80">
            <w:pPr>
              <w:spacing w:line="276" w:lineRule="auto"/>
              <w:jc w:val="center"/>
              <w:rPr>
                <w:rFonts w:eastAsia="Times New Roman" w:cs="Arial"/>
                <w:b/>
                <w:bCs/>
                <w:color w:val="000000"/>
                <w:sz w:val="18"/>
                <w:szCs w:val="18"/>
                <w:lang w:eastAsia="es-CO"/>
              </w:rPr>
            </w:pPr>
            <w:r w:rsidRPr="00AB1C80">
              <w:rPr>
                <w:rFonts w:eastAsia="Times New Roman" w:cs="Arial"/>
                <w:b/>
                <w:bCs/>
                <w:color w:val="000000"/>
                <w:sz w:val="18"/>
                <w:szCs w:val="18"/>
                <w:lang w:eastAsia="es-CO"/>
              </w:rPr>
              <w:t>-</w:t>
            </w:r>
          </w:p>
        </w:tc>
      </w:tr>
    </w:tbl>
    <w:p w14:paraId="4BFEDCCD" w14:textId="42108D02" w:rsidR="002B6DE6" w:rsidRPr="00AB1C80" w:rsidRDefault="002B6DE6" w:rsidP="00AB1C80">
      <w:pPr>
        <w:pStyle w:val="Fuente"/>
        <w:spacing w:line="276" w:lineRule="auto"/>
        <w:rPr>
          <w:rFonts w:cs="Arial"/>
          <w:lang w:val="es-CO"/>
        </w:rPr>
      </w:pPr>
      <w:r w:rsidRPr="00AB1C80">
        <w:rPr>
          <w:rFonts w:cs="Arial"/>
          <w:lang w:val="es-CO"/>
        </w:rPr>
        <w:t>Fuente: ATG Ltda., 202</w:t>
      </w:r>
      <w:r w:rsidR="002B7DD4" w:rsidRPr="00AB1C80">
        <w:rPr>
          <w:rFonts w:cs="Arial"/>
          <w:lang w:val="es-CO"/>
        </w:rPr>
        <w:t>1</w:t>
      </w:r>
      <w:r w:rsidRPr="00AB1C80">
        <w:rPr>
          <w:rFonts w:cs="Arial"/>
          <w:lang w:val="es-CO"/>
        </w:rPr>
        <w:t>.</w:t>
      </w:r>
    </w:p>
    <w:p w14:paraId="0B698F53" w14:textId="77777777" w:rsidR="002B6DE6" w:rsidRPr="00AB1C80" w:rsidRDefault="002B6DE6" w:rsidP="00AB1C80">
      <w:pPr>
        <w:spacing w:line="276" w:lineRule="auto"/>
        <w:rPr>
          <w:rFonts w:cs="Arial"/>
          <w:color w:val="000000" w:themeColor="text1"/>
        </w:rPr>
      </w:pPr>
    </w:p>
    <w:p w14:paraId="6C492974" w14:textId="3AD3F49F" w:rsidR="000440E4" w:rsidRPr="00AB1C80" w:rsidRDefault="000440E4" w:rsidP="00AB1C80">
      <w:pPr>
        <w:pStyle w:val="Ttulo3"/>
        <w:spacing w:line="276" w:lineRule="auto"/>
        <w:rPr>
          <w:rFonts w:cs="Arial"/>
        </w:rPr>
      </w:pPr>
      <w:bookmarkStart w:id="26" w:name="_Toc86332914"/>
      <w:bookmarkEnd w:id="20"/>
      <w:r w:rsidRPr="00AB1C80">
        <w:rPr>
          <w:rFonts w:cs="Arial"/>
        </w:rPr>
        <w:t>Actores mineros</w:t>
      </w:r>
      <w:bookmarkEnd w:id="26"/>
    </w:p>
    <w:p w14:paraId="6D15AB11" w14:textId="2638A2AA" w:rsidR="000440E4" w:rsidRPr="00AB1C80" w:rsidRDefault="000440E4" w:rsidP="00AB1C80">
      <w:pPr>
        <w:spacing w:line="276" w:lineRule="auto"/>
        <w:rPr>
          <w:rFonts w:cs="Arial"/>
          <w:color w:val="000000" w:themeColor="text1"/>
        </w:rPr>
      </w:pPr>
    </w:p>
    <w:p w14:paraId="4097E2D2" w14:textId="0B23C905" w:rsidR="00534241" w:rsidRPr="00AB1C80" w:rsidRDefault="00C767A9" w:rsidP="00AB1C80">
      <w:pPr>
        <w:spacing w:line="276" w:lineRule="auto"/>
        <w:rPr>
          <w:rFonts w:cs="Arial"/>
        </w:rPr>
      </w:pPr>
      <w:r w:rsidRPr="00AB1C80">
        <w:rPr>
          <w:rFonts w:cs="Arial"/>
        </w:rPr>
        <w:t xml:space="preserve">Para los actores mineros se </w:t>
      </w:r>
      <w:r w:rsidR="002B7DD4" w:rsidRPr="00AB1C80">
        <w:rPr>
          <w:rFonts w:cs="Arial"/>
        </w:rPr>
        <w:t>utilizó</w:t>
      </w:r>
      <w:r w:rsidRPr="00AB1C80">
        <w:rPr>
          <w:rFonts w:cs="Arial"/>
        </w:rPr>
        <w:t xml:space="preserve"> la misma metodología que con las empresas, haciendo llegar </w:t>
      </w:r>
      <w:r w:rsidR="00534241" w:rsidRPr="00AB1C80">
        <w:rPr>
          <w:rFonts w:cs="Arial"/>
        </w:rPr>
        <w:t xml:space="preserve">correos electrónicos a manera de invitación por parte del </w:t>
      </w:r>
      <w:r w:rsidR="00534241" w:rsidRPr="00AB1C80">
        <w:rPr>
          <w:rFonts w:cs="Arial"/>
          <w:color w:val="000000" w:themeColor="text1"/>
          <w:szCs w:val="24"/>
        </w:rPr>
        <w:t>Ministerio de Minas y Energía (Dirección de Minería Empresarial)</w:t>
      </w:r>
      <w:r w:rsidR="00534241" w:rsidRPr="00AB1C80">
        <w:rPr>
          <w:rFonts w:cs="Arial"/>
          <w:szCs w:val="24"/>
        </w:rPr>
        <w:t xml:space="preserve"> y ATG Ltda., y se </w:t>
      </w:r>
      <w:r w:rsidRPr="00AB1C80">
        <w:rPr>
          <w:rFonts w:cs="Arial"/>
          <w:szCs w:val="24"/>
        </w:rPr>
        <w:t xml:space="preserve">les </w:t>
      </w:r>
      <w:r w:rsidR="00534241" w:rsidRPr="00AB1C80">
        <w:rPr>
          <w:rFonts w:cs="Arial"/>
          <w:szCs w:val="24"/>
        </w:rPr>
        <w:t xml:space="preserve">realizó seguimiento </w:t>
      </w:r>
      <w:r w:rsidR="00534241" w:rsidRPr="00AB1C80">
        <w:rPr>
          <w:rFonts w:cs="Arial"/>
        </w:rPr>
        <w:t xml:space="preserve">con el fin de lograr llevar a cabo la mayor cantidad de reuniones. </w:t>
      </w:r>
    </w:p>
    <w:p w14:paraId="1DE561DE" w14:textId="77777777" w:rsidR="00534241" w:rsidRPr="00AB1C80" w:rsidRDefault="00534241" w:rsidP="00AB1C80">
      <w:pPr>
        <w:spacing w:line="276" w:lineRule="auto"/>
        <w:rPr>
          <w:rFonts w:cs="Arial"/>
        </w:rPr>
      </w:pPr>
    </w:p>
    <w:p w14:paraId="47F97A18" w14:textId="77777777" w:rsidR="00AB1C80" w:rsidRPr="00AB1C80" w:rsidRDefault="00534241" w:rsidP="00AB1C80">
      <w:pPr>
        <w:rPr>
          <w:rFonts w:cs="Arial"/>
          <w:b/>
          <w:szCs w:val="24"/>
        </w:rPr>
      </w:pPr>
      <w:r w:rsidRPr="00AB1C80">
        <w:rPr>
          <w:rFonts w:cs="Arial"/>
          <w:szCs w:val="24"/>
        </w:rPr>
        <w:t xml:space="preserve">Por medio de correo eléctrico se contactó a </w:t>
      </w:r>
      <w:r w:rsidR="00856E8A" w:rsidRPr="00AB1C80">
        <w:rPr>
          <w:rFonts w:cs="Arial"/>
          <w:szCs w:val="24"/>
        </w:rPr>
        <w:t>veintiún</w:t>
      </w:r>
      <w:r w:rsidRPr="00AB1C80">
        <w:rPr>
          <w:rFonts w:cs="Arial"/>
          <w:szCs w:val="24"/>
        </w:rPr>
        <w:t xml:space="preserve"> </w:t>
      </w:r>
      <w:r w:rsidRPr="00AB1C80">
        <w:rPr>
          <w:rFonts w:cs="Arial"/>
          <w:b/>
          <w:szCs w:val="24"/>
        </w:rPr>
        <w:t>(</w:t>
      </w:r>
      <w:r w:rsidR="00856E8A" w:rsidRPr="00AB1C80">
        <w:rPr>
          <w:rFonts w:cs="Arial"/>
          <w:b/>
          <w:szCs w:val="24"/>
        </w:rPr>
        <w:t>21</w:t>
      </w:r>
      <w:r w:rsidRPr="00AB1C80">
        <w:rPr>
          <w:rFonts w:cs="Arial"/>
          <w:b/>
          <w:szCs w:val="24"/>
        </w:rPr>
        <w:t>)</w:t>
      </w:r>
      <w:r w:rsidRPr="00AB1C80">
        <w:rPr>
          <w:rFonts w:cs="Arial"/>
          <w:szCs w:val="24"/>
        </w:rPr>
        <w:t xml:space="preserve"> </w:t>
      </w:r>
      <w:r w:rsidR="00856E8A" w:rsidRPr="00AB1C80">
        <w:rPr>
          <w:rFonts w:cs="Arial"/>
          <w:szCs w:val="24"/>
        </w:rPr>
        <w:t>actores</w:t>
      </w:r>
      <w:r w:rsidRPr="00AB1C80">
        <w:rPr>
          <w:rFonts w:cs="Arial"/>
          <w:szCs w:val="24"/>
        </w:rPr>
        <w:t xml:space="preserve"> miner</w:t>
      </w:r>
      <w:r w:rsidR="00856E8A" w:rsidRPr="00AB1C80">
        <w:rPr>
          <w:rFonts w:cs="Arial"/>
          <w:szCs w:val="24"/>
        </w:rPr>
        <w:t>o</w:t>
      </w:r>
      <w:r w:rsidRPr="00AB1C80">
        <w:rPr>
          <w:rFonts w:cs="Arial"/>
          <w:szCs w:val="24"/>
        </w:rPr>
        <w:t xml:space="preserve">s de las cuales se lograron coordinar </w:t>
      </w:r>
      <w:r w:rsidR="00052420" w:rsidRPr="00AB1C80">
        <w:rPr>
          <w:rFonts w:cs="Arial"/>
          <w:szCs w:val="24"/>
        </w:rPr>
        <w:t>seis</w:t>
      </w:r>
      <w:r w:rsidRPr="00AB1C80">
        <w:rPr>
          <w:rFonts w:cs="Arial"/>
          <w:szCs w:val="24"/>
        </w:rPr>
        <w:t xml:space="preserve"> </w:t>
      </w:r>
      <w:r w:rsidRPr="00AB1C80">
        <w:rPr>
          <w:rFonts w:cs="Arial"/>
          <w:b/>
          <w:szCs w:val="24"/>
        </w:rPr>
        <w:t>(</w:t>
      </w:r>
      <w:r w:rsidR="00052420" w:rsidRPr="00AB1C80">
        <w:rPr>
          <w:rFonts w:cs="Arial"/>
          <w:b/>
          <w:szCs w:val="24"/>
        </w:rPr>
        <w:t>6</w:t>
      </w:r>
      <w:r w:rsidRPr="00AB1C80">
        <w:rPr>
          <w:rFonts w:cs="Arial"/>
          <w:b/>
          <w:szCs w:val="24"/>
        </w:rPr>
        <w:t>)</w:t>
      </w:r>
      <w:r w:rsidRPr="00AB1C80">
        <w:rPr>
          <w:rFonts w:cs="Arial"/>
          <w:szCs w:val="24"/>
        </w:rPr>
        <w:t xml:space="preserve"> reuniones al momento de este entregable, (ver, </w:t>
      </w:r>
      <w:r w:rsidRPr="00AB1C80">
        <w:rPr>
          <w:rFonts w:cs="Arial"/>
          <w:b/>
          <w:szCs w:val="24"/>
        </w:rPr>
        <w:fldChar w:fldCharType="begin"/>
      </w:r>
      <w:r w:rsidRPr="00AB1C80">
        <w:rPr>
          <w:rFonts w:cs="Arial"/>
          <w:b/>
          <w:szCs w:val="24"/>
        </w:rPr>
        <w:instrText xml:space="preserve"> REF _Ref55304762 \h  \* MERGEFORMAT </w:instrText>
      </w:r>
      <w:r w:rsidRPr="00AB1C80">
        <w:rPr>
          <w:rFonts w:cs="Arial"/>
          <w:b/>
          <w:szCs w:val="24"/>
        </w:rPr>
      </w:r>
      <w:r w:rsidRPr="00AB1C80">
        <w:rPr>
          <w:rFonts w:cs="Arial"/>
          <w:b/>
          <w:szCs w:val="24"/>
        </w:rPr>
        <w:fldChar w:fldCharType="separate"/>
      </w:r>
    </w:p>
    <w:p w14:paraId="7720103E" w14:textId="77D5E552" w:rsidR="002B6DE6" w:rsidRPr="00AB1C80" w:rsidRDefault="00AB1C80" w:rsidP="00AB1C80">
      <w:pPr>
        <w:spacing w:line="276" w:lineRule="auto"/>
        <w:rPr>
          <w:rFonts w:cs="Arial"/>
          <w:szCs w:val="24"/>
        </w:rPr>
      </w:pPr>
      <w:r w:rsidRPr="00AB1C80">
        <w:rPr>
          <w:rFonts w:cs="Arial"/>
        </w:rPr>
        <w:t xml:space="preserve">Tabla </w:t>
      </w:r>
      <w:r>
        <w:rPr>
          <w:rFonts w:cs="Arial"/>
          <w:noProof/>
        </w:rPr>
        <w:t>2</w:t>
      </w:r>
      <w:r w:rsidR="00534241" w:rsidRPr="00AB1C80">
        <w:rPr>
          <w:rFonts w:cs="Arial"/>
          <w:b/>
          <w:szCs w:val="24"/>
        </w:rPr>
        <w:fldChar w:fldCharType="end"/>
      </w:r>
      <w:r w:rsidR="001C6F27" w:rsidRPr="00AB1C80">
        <w:rPr>
          <w:rFonts w:cs="Arial"/>
          <w:b/>
          <w:szCs w:val="24"/>
        </w:rPr>
        <w:fldChar w:fldCharType="begin"/>
      </w:r>
      <w:r w:rsidR="001C6F27" w:rsidRPr="00AB1C80">
        <w:rPr>
          <w:rFonts w:cs="Arial"/>
          <w:b/>
          <w:szCs w:val="24"/>
        </w:rPr>
        <w:instrText xml:space="preserve"> REF _Ref86232831 \h  \* MERGEFORMAT </w:instrText>
      </w:r>
      <w:r w:rsidR="001C6F27" w:rsidRPr="00AB1C80">
        <w:rPr>
          <w:rFonts w:cs="Arial"/>
          <w:b/>
          <w:szCs w:val="24"/>
        </w:rPr>
      </w:r>
      <w:r w:rsidR="001C6F27" w:rsidRPr="00AB1C80">
        <w:rPr>
          <w:rFonts w:cs="Arial"/>
          <w:b/>
          <w:szCs w:val="24"/>
        </w:rPr>
        <w:fldChar w:fldCharType="separate"/>
      </w:r>
      <w:r w:rsidRPr="00AB1C80">
        <w:rPr>
          <w:rFonts w:cs="Arial"/>
          <w:b/>
        </w:rPr>
        <w:t xml:space="preserve">Tabla </w:t>
      </w:r>
      <w:r w:rsidRPr="00AB1C80">
        <w:rPr>
          <w:rFonts w:cs="Arial"/>
          <w:b/>
          <w:noProof/>
        </w:rPr>
        <w:t>3</w:t>
      </w:r>
      <w:r w:rsidR="001C6F27" w:rsidRPr="00AB1C80">
        <w:rPr>
          <w:rFonts w:cs="Arial"/>
          <w:b/>
          <w:szCs w:val="24"/>
        </w:rPr>
        <w:fldChar w:fldCharType="end"/>
      </w:r>
      <w:r w:rsidR="00534241" w:rsidRPr="00AB1C80">
        <w:rPr>
          <w:rFonts w:cs="Arial"/>
          <w:szCs w:val="24"/>
        </w:rPr>
        <w:t xml:space="preserve">), a la fecha se encuentra pendiente una </w:t>
      </w:r>
      <w:r w:rsidR="00534241" w:rsidRPr="00AB1C80">
        <w:rPr>
          <w:rFonts w:cs="Arial"/>
          <w:b/>
          <w:bCs/>
          <w:szCs w:val="24"/>
        </w:rPr>
        <w:t>(1)</w:t>
      </w:r>
      <w:r w:rsidR="00534241" w:rsidRPr="00AB1C80">
        <w:rPr>
          <w:rFonts w:cs="Arial"/>
          <w:szCs w:val="24"/>
        </w:rPr>
        <w:t xml:space="preserve"> reunión con </w:t>
      </w:r>
      <w:r w:rsidR="00052420" w:rsidRPr="00AB1C80">
        <w:rPr>
          <w:rFonts w:cs="Arial"/>
          <w:szCs w:val="24"/>
        </w:rPr>
        <w:t>el Ministerio de Ambiente y Desarrollo Sostenible</w:t>
      </w:r>
      <w:r w:rsidR="001C6F27" w:rsidRPr="00AB1C80">
        <w:rPr>
          <w:rFonts w:cs="Arial"/>
          <w:szCs w:val="24"/>
        </w:rPr>
        <w:t>,</w:t>
      </w:r>
      <w:r w:rsidR="00534241" w:rsidRPr="00AB1C80">
        <w:rPr>
          <w:rFonts w:cs="Arial"/>
          <w:szCs w:val="24"/>
        </w:rPr>
        <w:t xml:space="preserve"> </w:t>
      </w:r>
      <w:r w:rsidR="001C6F27" w:rsidRPr="00AB1C80">
        <w:rPr>
          <w:rFonts w:cs="Arial"/>
          <w:szCs w:val="24"/>
        </w:rPr>
        <w:t xml:space="preserve">con </w:t>
      </w:r>
      <w:r w:rsidR="00B57328" w:rsidRPr="00AB1C80">
        <w:rPr>
          <w:rFonts w:cs="Arial"/>
          <w:szCs w:val="24"/>
        </w:rPr>
        <w:t>cuatro</w:t>
      </w:r>
      <w:r w:rsidR="001C6F27" w:rsidRPr="00AB1C80">
        <w:rPr>
          <w:rFonts w:cs="Arial"/>
          <w:szCs w:val="24"/>
        </w:rPr>
        <w:t xml:space="preserve"> </w:t>
      </w:r>
      <w:r w:rsidR="001C6F27" w:rsidRPr="00AB1C80">
        <w:rPr>
          <w:rFonts w:cs="Arial"/>
          <w:b/>
          <w:bCs/>
          <w:szCs w:val="24"/>
        </w:rPr>
        <w:t>(</w:t>
      </w:r>
      <w:r w:rsidR="00B57328" w:rsidRPr="00AB1C80">
        <w:rPr>
          <w:rFonts w:cs="Arial"/>
          <w:b/>
          <w:bCs/>
          <w:szCs w:val="24"/>
        </w:rPr>
        <w:t>4</w:t>
      </w:r>
      <w:r w:rsidR="001C6F27" w:rsidRPr="00AB1C80">
        <w:rPr>
          <w:rFonts w:cs="Arial"/>
          <w:b/>
          <w:bCs/>
          <w:szCs w:val="24"/>
        </w:rPr>
        <w:t>)</w:t>
      </w:r>
      <w:r w:rsidR="001C6F27" w:rsidRPr="00AB1C80">
        <w:rPr>
          <w:rFonts w:cs="Arial"/>
          <w:szCs w:val="24"/>
        </w:rPr>
        <w:t xml:space="preserve"> empresas se está pendiente </w:t>
      </w:r>
      <w:r w:rsidR="001C6F27" w:rsidRPr="00AB1C80">
        <w:rPr>
          <w:rFonts w:cs="Arial"/>
          <w:szCs w:val="24"/>
        </w:rPr>
        <w:lastRenderedPageBreak/>
        <w:t>confirmar la fecha de una posible reunión y</w:t>
      </w:r>
      <w:r w:rsidR="00534241" w:rsidRPr="00AB1C80">
        <w:rPr>
          <w:rFonts w:cs="Arial"/>
          <w:szCs w:val="24"/>
        </w:rPr>
        <w:t xml:space="preserve"> con las otras empresas no se logró concretar la reunión o no se obtuvo respuesta.</w:t>
      </w:r>
    </w:p>
    <w:p w14:paraId="0F7E3478" w14:textId="0FFE50BC" w:rsidR="00534241" w:rsidRPr="00AB1C80" w:rsidRDefault="00534241" w:rsidP="00AB1C80">
      <w:pPr>
        <w:spacing w:line="276" w:lineRule="auto"/>
        <w:rPr>
          <w:rFonts w:cs="Arial"/>
          <w:szCs w:val="24"/>
        </w:rPr>
      </w:pPr>
    </w:p>
    <w:p w14:paraId="2A6BE8F5" w14:textId="767F97B2" w:rsidR="002B7DD4" w:rsidRPr="00AB1C80" w:rsidRDefault="002B7DD4" w:rsidP="00AB1C80">
      <w:pPr>
        <w:pStyle w:val="FigurayTabla"/>
        <w:spacing w:line="276" w:lineRule="auto"/>
        <w:rPr>
          <w:rFonts w:cs="Arial"/>
          <w:szCs w:val="24"/>
          <w:lang w:val="es-CO"/>
        </w:rPr>
      </w:pPr>
      <w:bookmarkStart w:id="27" w:name="_Ref86232831"/>
      <w:bookmarkStart w:id="28" w:name="_Toc86333008"/>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w:t>
      </w:r>
      <w:r w:rsidRPr="00AB1C80">
        <w:rPr>
          <w:rFonts w:cs="Arial"/>
          <w:lang w:val="es-CO"/>
        </w:rPr>
        <w:fldChar w:fldCharType="end"/>
      </w:r>
      <w:bookmarkEnd w:id="27"/>
      <w:r w:rsidRPr="00AB1C80">
        <w:rPr>
          <w:rFonts w:cs="Arial"/>
          <w:lang w:val="es-CO"/>
        </w:rPr>
        <w:t>. Relación de correos enviados a Actores Mineros.</w:t>
      </w:r>
      <w:bookmarkEnd w:id="28"/>
    </w:p>
    <w:tbl>
      <w:tblPr>
        <w:tblW w:w="11127" w:type="dxa"/>
        <w:jc w:val="center"/>
        <w:tblCellMar>
          <w:left w:w="70" w:type="dxa"/>
          <w:right w:w="70" w:type="dxa"/>
        </w:tblCellMar>
        <w:tblLook w:val="04A0" w:firstRow="1" w:lastRow="0" w:firstColumn="1" w:lastColumn="0" w:noHBand="0" w:noVBand="1"/>
      </w:tblPr>
      <w:tblGrid>
        <w:gridCol w:w="2263"/>
        <w:gridCol w:w="2121"/>
        <w:gridCol w:w="3668"/>
        <w:gridCol w:w="1301"/>
        <w:gridCol w:w="1774"/>
      </w:tblGrid>
      <w:tr w:rsidR="002B7DD4" w:rsidRPr="00AB1C80" w14:paraId="7A963906" w14:textId="77777777" w:rsidTr="002B7DD4">
        <w:trPr>
          <w:trHeight w:val="480"/>
          <w:tblHeader/>
          <w:jc w:val="center"/>
        </w:trPr>
        <w:tc>
          <w:tcPr>
            <w:tcW w:w="2263" w:type="dxa"/>
            <w:tcBorders>
              <w:top w:val="single" w:sz="4" w:space="0" w:color="auto"/>
              <w:left w:val="single" w:sz="4" w:space="0" w:color="auto"/>
              <w:bottom w:val="single" w:sz="4" w:space="0" w:color="auto"/>
              <w:right w:val="single" w:sz="4" w:space="0" w:color="auto"/>
            </w:tcBorders>
            <w:shd w:val="clear" w:color="000000" w:fill="1E345C"/>
            <w:vAlign w:val="center"/>
            <w:hideMark/>
          </w:tcPr>
          <w:p w14:paraId="67053E07" w14:textId="77777777" w:rsidR="002B7DD4" w:rsidRPr="00AB1C80" w:rsidRDefault="002B7DD4"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Empresa</w:t>
            </w:r>
          </w:p>
        </w:tc>
        <w:tc>
          <w:tcPr>
            <w:tcW w:w="2121" w:type="dxa"/>
            <w:tcBorders>
              <w:top w:val="single" w:sz="4" w:space="0" w:color="auto"/>
              <w:left w:val="nil"/>
              <w:bottom w:val="single" w:sz="4" w:space="0" w:color="auto"/>
              <w:right w:val="single" w:sz="4" w:space="0" w:color="auto"/>
            </w:tcBorders>
            <w:shd w:val="clear" w:color="000000" w:fill="1E345C"/>
            <w:vAlign w:val="center"/>
            <w:hideMark/>
          </w:tcPr>
          <w:p w14:paraId="4F29711A" w14:textId="77777777" w:rsidR="002B7DD4" w:rsidRPr="00AB1C80" w:rsidRDefault="002B7DD4"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Contacto Inicial</w:t>
            </w:r>
          </w:p>
        </w:tc>
        <w:tc>
          <w:tcPr>
            <w:tcW w:w="3668" w:type="dxa"/>
            <w:tcBorders>
              <w:top w:val="single" w:sz="4" w:space="0" w:color="auto"/>
              <w:left w:val="nil"/>
              <w:bottom w:val="single" w:sz="4" w:space="0" w:color="auto"/>
              <w:right w:val="single" w:sz="4" w:space="0" w:color="auto"/>
            </w:tcBorders>
            <w:shd w:val="clear" w:color="000000" w:fill="1E345C"/>
            <w:vAlign w:val="center"/>
            <w:hideMark/>
          </w:tcPr>
          <w:p w14:paraId="03E4D521" w14:textId="77777777" w:rsidR="002B7DD4" w:rsidRPr="00AB1C80" w:rsidRDefault="002B7DD4"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Correo</w:t>
            </w:r>
          </w:p>
        </w:tc>
        <w:tc>
          <w:tcPr>
            <w:tcW w:w="1301" w:type="dxa"/>
            <w:tcBorders>
              <w:top w:val="single" w:sz="4" w:space="0" w:color="auto"/>
              <w:left w:val="nil"/>
              <w:bottom w:val="single" w:sz="4" w:space="0" w:color="auto"/>
              <w:right w:val="single" w:sz="4" w:space="0" w:color="auto"/>
            </w:tcBorders>
            <w:shd w:val="clear" w:color="000000" w:fill="1E345C"/>
            <w:vAlign w:val="center"/>
            <w:hideMark/>
          </w:tcPr>
          <w:p w14:paraId="7CD10EED" w14:textId="77777777" w:rsidR="002B7DD4" w:rsidRPr="00AB1C80" w:rsidRDefault="002B7DD4"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Confirmación Reunión</w:t>
            </w:r>
          </w:p>
        </w:tc>
        <w:tc>
          <w:tcPr>
            <w:tcW w:w="1774" w:type="dxa"/>
            <w:tcBorders>
              <w:top w:val="single" w:sz="4" w:space="0" w:color="auto"/>
              <w:left w:val="nil"/>
              <w:bottom w:val="single" w:sz="4" w:space="0" w:color="auto"/>
              <w:right w:val="single" w:sz="4" w:space="0" w:color="auto"/>
            </w:tcBorders>
            <w:shd w:val="clear" w:color="000000" w:fill="1E345C"/>
            <w:vAlign w:val="center"/>
            <w:hideMark/>
          </w:tcPr>
          <w:p w14:paraId="7B36A649" w14:textId="77777777" w:rsidR="002B7DD4" w:rsidRPr="00AB1C80" w:rsidRDefault="002B7DD4"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Fecha de Reunión</w:t>
            </w:r>
          </w:p>
        </w:tc>
      </w:tr>
      <w:tr w:rsidR="002B7DD4" w:rsidRPr="00AB1C80" w14:paraId="01C296CC"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0169AC8"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DNP - Subdirección Minas y Energía</w:t>
            </w:r>
          </w:p>
        </w:tc>
        <w:tc>
          <w:tcPr>
            <w:tcW w:w="2121" w:type="dxa"/>
            <w:tcBorders>
              <w:top w:val="nil"/>
              <w:left w:val="nil"/>
              <w:bottom w:val="single" w:sz="4" w:space="0" w:color="auto"/>
              <w:right w:val="single" w:sz="4" w:space="0" w:color="auto"/>
            </w:tcBorders>
            <w:shd w:val="clear" w:color="auto" w:fill="auto"/>
            <w:noWrap/>
            <w:vAlign w:val="center"/>
            <w:hideMark/>
          </w:tcPr>
          <w:p w14:paraId="2E3CD162"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Esteban Felipe Castillo Jiménez</w:t>
            </w:r>
          </w:p>
        </w:tc>
        <w:tc>
          <w:tcPr>
            <w:tcW w:w="3668" w:type="dxa"/>
            <w:tcBorders>
              <w:top w:val="nil"/>
              <w:left w:val="nil"/>
              <w:bottom w:val="single" w:sz="4" w:space="0" w:color="auto"/>
              <w:right w:val="single" w:sz="4" w:space="0" w:color="auto"/>
            </w:tcBorders>
            <w:shd w:val="clear" w:color="auto" w:fill="auto"/>
            <w:vAlign w:val="center"/>
            <w:hideMark/>
          </w:tcPr>
          <w:p w14:paraId="6E3977A3"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escastillo@dnp.gov.co</w:t>
            </w:r>
          </w:p>
        </w:tc>
        <w:tc>
          <w:tcPr>
            <w:tcW w:w="1301" w:type="dxa"/>
            <w:tcBorders>
              <w:top w:val="nil"/>
              <w:left w:val="nil"/>
              <w:bottom w:val="single" w:sz="4" w:space="0" w:color="auto"/>
              <w:right w:val="single" w:sz="4" w:space="0" w:color="auto"/>
            </w:tcBorders>
            <w:shd w:val="clear" w:color="auto" w:fill="auto"/>
            <w:noWrap/>
            <w:vAlign w:val="center"/>
            <w:hideMark/>
          </w:tcPr>
          <w:p w14:paraId="2DAF9CA8"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451996FF"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lunes, 11 de octubre de 2021</w:t>
            </w:r>
          </w:p>
        </w:tc>
      </w:tr>
      <w:tr w:rsidR="002B7DD4" w:rsidRPr="00AB1C80" w14:paraId="7B7E716C"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11FC1A4"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Secretaría de Minas - Gobernación de Antioquia</w:t>
            </w:r>
          </w:p>
        </w:tc>
        <w:tc>
          <w:tcPr>
            <w:tcW w:w="2121" w:type="dxa"/>
            <w:tcBorders>
              <w:top w:val="nil"/>
              <w:left w:val="nil"/>
              <w:bottom w:val="single" w:sz="4" w:space="0" w:color="auto"/>
              <w:right w:val="single" w:sz="4" w:space="0" w:color="auto"/>
            </w:tcBorders>
            <w:shd w:val="clear" w:color="auto" w:fill="auto"/>
            <w:vAlign w:val="center"/>
            <w:hideMark/>
          </w:tcPr>
          <w:p w14:paraId="5A546687"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Jorge Alberto Jaramillo</w:t>
            </w:r>
          </w:p>
        </w:tc>
        <w:tc>
          <w:tcPr>
            <w:tcW w:w="3668" w:type="dxa"/>
            <w:tcBorders>
              <w:top w:val="nil"/>
              <w:left w:val="nil"/>
              <w:bottom w:val="single" w:sz="4" w:space="0" w:color="auto"/>
              <w:right w:val="single" w:sz="4" w:space="0" w:color="auto"/>
            </w:tcBorders>
            <w:shd w:val="clear" w:color="auto" w:fill="auto"/>
            <w:vAlign w:val="center"/>
            <w:hideMark/>
          </w:tcPr>
          <w:p w14:paraId="72EE317D"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jorgealberto.jaramillo@antioquia.gov.co</w:t>
            </w:r>
          </w:p>
        </w:tc>
        <w:tc>
          <w:tcPr>
            <w:tcW w:w="1301" w:type="dxa"/>
            <w:tcBorders>
              <w:top w:val="nil"/>
              <w:left w:val="nil"/>
              <w:bottom w:val="single" w:sz="4" w:space="0" w:color="auto"/>
              <w:right w:val="single" w:sz="4" w:space="0" w:color="auto"/>
            </w:tcBorders>
            <w:shd w:val="clear" w:color="auto" w:fill="auto"/>
            <w:noWrap/>
            <w:vAlign w:val="center"/>
            <w:hideMark/>
          </w:tcPr>
          <w:p w14:paraId="36ED908E"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52CF7313"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miércoles, 13 de octubre de 2021</w:t>
            </w:r>
          </w:p>
        </w:tc>
      </w:tr>
      <w:tr w:rsidR="002B7DD4" w:rsidRPr="00AB1C80" w14:paraId="4E6ED206"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CD22E0D" w14:textId="229861F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Servicio Geológico Colombiano</w:t>
            </w:r>
          </w:p>
        </w:tc>
        <w:tc>
          <w:tcPr>
            <w:tcW w:w="2121" w:type="dxa"/>
            <w:tcBorders>
              <w:top w:val="nil"/>
              <w:left w:val="nil"/>
              <w:bottom w:val="single" w:sz="4" w:space="0" w:color="auto"/>
              <w:right w:val="single" w:sz="4" w:space="0" w:color="auto"/>
            </w:tcBorders>
            <w:shd w:val="clear" w:color="auto" w:fill="auto"/>
            <w:noWrap/>
            <w:vAlign w:val="center"/>
            <w:hideMark/>
          </w:tcPr>
          <w:p w14:paraId="663D7F43"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Gloria Prieto Rincón</w:t>
            </w:r>
          </w:p>
        </w:tc>
        <w:tc>
          <w:tcPr>
            <w:tcW w:w="3668" w:type="dxa"/>
            <w:tcBorders>
              <w:top w:val="nil"/>
              <w:left w:val="nil"/>
              <w:bottom w:val="single" w:sz="4" w:space="0" w:color="auto"/>
              <w:right w:val="single" w:sz="4" w:space="0" w:color="auto"/>
            </w:tcBorders>
            <w:shd w:val="clear" w:color="auto" w:fill="auto"/>
            <w:vAlign w:val="center"/>
            <w:hideMark/>
          </w:tcPr>
          <w:p w14:paraId="604825AC"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gprieto@sgc.gov.co</w:t>
            </w:r>
          </w:p>
        </w:tc>
        <w:tc>
          <w:tcPr>
            <w:tcW w:w="1301" w:type="dxa"/>
            <w:tcBorders>
              <w:top w:val="nil"/>
              <w:left w:val="nil"/>
              <w:bottom w:val="single" w:sz="4" w:space="0" w:color="auto"/>
              <w:right w:val="single" w:sz="4" w:space="0" w:color="auto"/>
            </w:tcBorders>
            <w:shd w:val="clear" w:color="auto" w:fill="auto"/>
            <w:noWrap/>
            <w:vAlign w:val="center"/>
            <w:hideMark/>
          </w:tcPr>
          <w:p w14:paraId="4ADA2CBF"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2EF37F7E"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jueves, 21 de octubre de 2021</w:t>
            </w:r>
          </w:p>
        </w:tc>
      </w:tr>
      <w:tr w:rsidR="002B7DD4" w:rsidRPr="00AB1C80" w14:paraId="67793BA0"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C7C1470"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Cornare</w:t>
            </w:r>
          </w:p>
        </w:tc>
        <w:tc>
          <w:tcPr>
            <w:tcW w:w="2121" w:type="dxa"/>
            <w:tcBorders>
              <w:top w:val="nil"/>
              <w:left w:val="nil"/>
              <w:bottom w:val="single" w:sz="4" w:space="0" w:color="auto"/>
              <w:right w:val="single" w:sz="4" w:space="0" w:color="auto"/>
            </w:tcBorders>
            <w:shd w:val="clear" w:color="auto" w:fill="auto"/>
            <w:vAlign w:val="center"/>
            <w:hideMark/>
          </w:tcPr>
          <w:p w14:paraId="0F28C184"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Javier Antonio Parra</w:t>
            </w:r>
            <w:r w:rsidRPr="00AB1C80">
              <w:rPr>
                <w:rFonts w:eastAsia="Times New Roman" w:cs="Arial"/>
                <w:color w:val="000000"/>
                <w:sz w:val="20"/>
                <w:szCs w:val="20"/>
                <w:lang w:eastAsia="es-CO"/>
              </w:rPr>
              <w:br/>
              <w:t>Luisa Fernanda Jaramillo Parra</w:t>
            </w:r>
          </w:p>
        </w:tc>
        <w:tc>
          <w:tcPr>
            <w:tcW w:w="3668" w:type="dxa"/>
            <w:tcBorders>
              <w:top w:val="nil"/>
              <w:left w:val="nil"/>
              <w:bottom w:val="single" w:sz="4" w:space="0" w:color="auto"/>
              <w:right w:val="single" w:sz="4" w:space="0" w:color="auto"/>
            </w:tcBorders>
            <w:shd w:val="clear" w:color="auto" w:fill="auto"/>
            <w:vAlign w:val="center"/>
            <w:hideMark/>
          </w:tcPr>
          <w:p w14:paraId="29949A9A"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jparra@cornare.gov.co</w:t>
            </w:r>
            <w:r w:rsidRPr="00AB1C80">
              <w:rPr>
                <w:rFonts w:eastAsia="Times New Roman" w:cs="Arial"/>
                <w:color w:val="000000"/>
                <w:sz w:val="20"/>
                <w:szCs w:val="20"/>
                <w:lang w:eastAsia="es-CO"/>
              </w:rPr>
              <w:br/>
              <w:t>lfjaramillop@gmail.com</w:t>
            </w:r>
          </w:p>
        </w:tc>
        <w:tc>
          <w:tcPr>
            <w:tcW w:w="1301" w:type="dxa"/>
            <w:tcBorders>
              <w:top w:val="nil"/>
              <w:left w:val="nil"/>
              <w:bottom w:val="single" w:sz="4" w:space="0" w:color="auto"/>
              <w:right w:val="single" w:sz="4" w:space="0" w:color="auto"/>
            </w:tcBorders>
            <w:shd w:val="clear" w:color="auto" w:fill="auto"/>
            <w:noWrap/>
            <w:vAlign w:val="center"/>
            <w:hideMark/>
          </w:tcPr>
          <w:p w14:paraId="44FBE1E2"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0E157013"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viernes, 22 de octubre de 2021</w:t>
            </w:r>
          </w:p>
        </w:tc>
      </w:tr>
      <w:tr w:rsidR="002B7DD4" w:rsidRPr="00AB1C80" w14:paraId="234E3C2D"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0F16834"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Corantioquia</w:t>
            </w:r>
          </w:p>
        </w:tc>
        <w:tc>
          <w:tcPr>
            <w:tcW w:w="2121" w:type="dxa"/>
            <w:tcBorders>
              <w:top w:val="nil"/>
              <w:left w:val="nil"/>
              <w:bottom w:val="single" w:sz="4" w:space="0" w:color="auto"/>
              <w:right w:val="single" w:sz="4" w:space="0" w:color="auto"/>
            </w:tcBorders>
            <w:shd w:val="clear" w:color="auto" w:fill="auto"/>
            <w:noWrap/>
            <w:vAlign w:val="center"/>
            <w:hideMark/>
          </w:tcPr>
          <w:p w14:paraId="38376F21" w14:textId="1CA4F613"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María Teresa Martínez </w:t>
            </w:r>
            <w:proofErr w:type="spellStart"/>
            <w:r w:rsidRPr="00AB1C80">
              <w:rPr>
                <w:rFonts w:eastAsia="Times New Roman" w:cs="Arial"/>
                <w:color w:val="000000"/>
                <w:sz w:val="20"/>
                <w:szCs w:val="20"/>
                <w:lang w:eastAsia="es-CO"/>
              </w:rPr>
              <w:t>Martínez</w:t>
            </w:r>
            <w:proofErr w:type="spellEnd"/>
          </w:p>
        </w:tc>
        <w:tc>
          <w:tcPr>
            <w:tcW w:w="3668" w:type="dxa"/>
            <w:tcBorders>
              <w:top w:val="nil"/>
              <w:left w:val="nil"/>
              <w:bottom w:val="single" w:sz="4" w:space="0" w:color="auto"/>
              <w:right w:val="single" w:sz="4" w:space="0" w:color="auto"/>
            </w:tcBorders>
            <w:shd w:val="clear" w:color="auto" w:fill="auto"/>
            <w:vAlign w:val="center"/>
            <w:hideMark/>
          </w:tcPr>
          <w:p w14:paraId="41AF0F78"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mmartinez@corantioquia.gov.co</w:t>
            </w:r>
          </w:p>
        </w:tc>
        <w:tc>
          <w:tcPr>
            <w:tcW w:w="1301" w:type="dxa"/>
            <w:tcBorders>
              <w:top w:val="nil"/>
              <w:left w:val="nil"/>
              <w:bottom w:val="single" w:sz="4" w:space="0" w:color="auto"/>
              <w:right w:val="single" w:sz="4" w:space="0" w:color="auto"/>
            </w:tcBorders>
            <w:shd w:val="clear" w:color="auto" w:fill="auto"/>
            <w:noWrap/>
            <w:vAlign w:val="center"/>
            <w:hideMark/>
          </w:tcPr>
          <w:p w14:paraId="73F13732"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07DF79BF"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viernes, 22 de octubre de 2021</w:t>
            </w:r>
          </w:p>
        </w:tc>
      </w:tr>
      <w:tr w:rsidR="002B7DD4" w:rsidRPr="00AB1C80" w14:paraId="2A0784BC"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B674F23"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2w2</w:t>
            </w:r>
          </w:p>
        </w:tc>
        <w:tc>
          <w:tcPr>
            <w:tcW w:w="2121" w:type="dxa"/>
            <w:tcBorders>
              <w:top w:val="nil"/>
              <w:left w:val="nil"/>
              <w:bottom w:val="single" w:sz="4" w:space="0" w:color="auto"/>
              <w:right w:val="single" w:sz="4" w:space="0" w:color="auto"/>
            </w:tcBorders>
            <w:shd w:val="clear" w:color="auto" w:fill="auto"/>
            <w:vAlign w:val="center"/>
            <w:hideMark/>
          </w:tcPr>
          <w:p w14:paraId="15539B74"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Joaquín Caraballo</w:t>
            </w:r>
          </w:p>
        </w:tc>
        <w:tc>
          <w:tcPr>
            <w:tcW w:w="3668" w:type="dxa"/>
            <w:tcBorders>
              <w:top w:val="nil"/>
              <w:left w:val="nil"/>
              <w:bottom w:val="single" w:sz="4" w:space="0" w:color="auto"/>
              <w:right w:val="single" w:sz="4" w:space="0" w:color="auto"/>
            </w:tcBorders>
            <w:shd w:val="clear" w:color="auto" w:fill="auto"/>
            <w:vAlign w:val="center"/>
            <w:hideMark/>
          </w:tcPr>
          <w:p w14:paraId="437F6B49"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w:t>
            </w:r>
          </w:p>
        </w:tc>
        <w:tc>
          <w:tcPr>
            <w:tcW w:w="1301" w:type="dxa"/>
            <w:tcBorders>
              <w:top w:val="nil"/>
              <w:left w:val="nil"/>
              <w:bottom w:val="single" w:sz="4" w:space="0" w:color="auto"/>
              <w:right w:val="single" w:sz="4" w:space="0" w:color="auto"/>
            </w:tcBorders>
            <w:shd w:val="clear" w:color="auto" w:fill="auto"/>
            <w:noWrap/>
            <w:vAlign w:val="center"/>
            <w:hideMark/>
          </w:tcPr>
          <w:p w14:paraId="0A43A790"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Realizada</w:t>
            </w:r>
          </w:p>
        </w:tc>
        <w:tc>
          <w:tcPr>
            <w:tcW w:w="1774" w:type="dxa"/>
            <w:tcBorders>
              <w:top w:val="nil"/>
              <w:left w:val="nil"/>
              <w:bottom w:val="single" w:sz="4" w:space="0" w:color="auto"/>
              <w:right w:val="single" w:sz="4" w:space="0" w:color="auto"/>
            </w:tcBorders>
            <w:shd w:val="clear" w:color="auto" w:fill="auto"/>
            <w:vAlign w:val="center"/>
            <w:hideMark/>
          </w:tcPr>
          <w:p w14:paraId="6080033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lunes, 25 de octubre de 2021</w:t>
            </w:r>
          </w:p>
        </w:tc>
      </w:tr>
      <w:tr w:rsidR="002B7DD4" w:rsidRPr="00AB1C80" w14:paraId="3910AC57"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D7BE587"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Ministerio de Ambiente y Desarrollo Sostenible</w:t>
            </w:r>
          </w:p>
        </w:tc>
        <w:tc>
          <w:tcPr>
            <w:tcW w:w="2121" w:type="dxa"/>
            <w:tcBorders>
              <w:top w:val="nil"/>
              <w:left w:val="nil"/>
              <w:bottom w:val="single" w:sz="4" w:space="0" w:color="auto"/>
              <w:right w:val="single" w:sz="4" w:space="0" w:color="auto"/>
            </w:tcBorders>
            <w:shd w:val="clear" w:color="auto" w:fill="auto"/>
            <w:vAlign w:val="center"/>
            <w:hideMark/>
          </w:tcPr>
          <w:p w14:paraId="152165F4"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Sergio Rodrigo Hernández Cruz</w:t>
            </w:r>
            <w:r w:rsidRPr="00AB1C80">
              <w:rPr>
                <w:rFonts w:eastAsia="Times New Roman" w:cs="Arial"/>
                <w:color w:val="000000"/>
                <w:sz w:val="20"/>
                <w:szCs w:val="20"/>
                <w:lang w:eastAsia="es-CO"/>
              </w:rPr>
              <w:br/>
              <w:t>Natalia Cáceres</w:t>
            </w:r>
          </w:p>
        </w:tc>
        <w:tc>
          <w:tcPr>
            <w:tcW w:w="3668" w:type="dxa"/>
            <w:tcBorders>
              <w:top w:val="nil"/>
              <w:left w:val="nil"/>
              <w:bottom w:val="single" w:sz="4" w:space="0" w:color="auto"/>
              <w:right w:val="single" w:sz="4" w:space="0" w:color="auto"/>
            </w:tcBorders>
            <w:shd w:val="clear" w:color="auto" w:fill="auto"/>
            <w:vAlign w:val="center"/>
            <w:hideMark/>
          </w:tcPr>
          <w:p w14:paraId="3D51097F"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sehernandez@minambiente.gov.co</w:t>
            </w:r>
            <w:r w:rsidRPr="00AB1C80">
              <w:rPr>
                <w:rFonts w:eastAsia="Times New Roman" w:cs="Arial"/>
                <w:color w:val="000000"/>
                <w:sz w:val="20"/>
                <w:szCs w:val="20"/>
                <w:lang w:eastAsia="es-CO"/>
              </w:rPr>
              <w:br/>
              <w:t>ncaceres@minambiente.gov.co</w:t>
            </w:r>
          </w:p>
        </w:tc>
        <w:tc>
          <w:tcPr>
            <w:tcW w:w="1301" w:type="dxa"/>
            <w:tcBorders>
              <w:top w:val="nil"/>
              <w:left w:val="nil"/>
              <w:bottom w:val="single" w:sz="4" w:space="0" w:color="auto"/>
              <w:right w:val="single" w:sz="4" w:space="0" w:color="auto"/>
            </w:tcBorders>
            <w:shd w:val="clear" w:color="auto" w:fill="auto"/>
            <w:noWrap/>
            <w:vAlign w:val="center"/>
            <w:hideMark/>
          </w:tcPr>
          <w:p w14:paraId="68E62E64"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w:t>
            </w:r>
          </w:p>
        </w:tc>
        <w:tc>
          <w:tcPr>
            <w:tcW w:w="1774" w:type="dxa"/>
            <w:tcBorders>
              <w:top w:val="nil"/>
              <w:left w:val="nil"/>
              <w:bottom w:val="single" w:sz="4" w:space="0" w:color="auto"/>
              <w:right w:val="single" w:sz="4" w:space="0" w:color="auto"/>
            </w:tcBorders>
            <w:shd w:val="clear" w:color="auto" w:fill="auto"/>
            <w:vAlign w:val="center"/>
            <w:hideMark/>
          </w:tcPr>
          <w:p w14:paraId="618EA9B0"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viernes, 29 de octubre de 2021</w:t>
            </w:r>
          </w:p>
        </w:tc>
      </w:tr>
      <w:tr w:rsidR="002B7DD4" w:rsidRPr="00AB1C80" w14:paraId="568315B6"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4FB0528E" w14:textId="10BA90C2"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Unidad de Planeación Minero-Energética - UPME</w:t>
            </w:r>
          </w:p>
        </w:tc>
        <w:tc>
          <w:tcPr>
            <w:tcW w:w="2121" w:type="dxa"/>
            <w:tcBorders>
              <w:top w:val="nil"/>
              <w:left w:val="nil"/>
              <w:bottom w:val="single" w:sz="4" w:space="0" w:color="auto"/>
              <w:right w:val="single" w:sz="4" w:space="0" w:color="auto"/>
            </w:tcBorders>
            <w:shd w:val="clear" w:color="auto" w:fill="auto"/>
            <w:vAlign w:val="center"/>
            <w:hideMark/>
          </w:tcPr>
          <w:p w14:paraId="3A5C0055"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Juan Loaiza</w:t>
            </w:r>
          </w:p>
        </w:tc>
        <w:tc>
          <w:tcPr>
            <w:tcW w:w="3668" w:type="dxa"/>
            <w:tcBorders>
              <w:top w:val="nil"/>
              <w:left w:val="nil"/>
              <w:bottom w:val="single" w:sz="4" w:space="0" w:color="auto"/>
              <w:right w:val="single" w:sz="4" w:space="0" w:color="auto"/>
            </w:tcBorders>
            <w:shd w:val="clear" w:color="auto" w:fill="auto"/>
            <w:vAlign w:val="center"/>
            <w:hideMark/>
          </w:tcPr>
          <w:p w14:paraId="7685822F"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juan.loaiza@upme.gov.co</w:t>
            </w:r>
          </w:p>
        </w:tc>
        <w:tc>
          <w:tcPr>
            <w:tcW w:w="1301" w:type="dxa"/>
            <w:tcBorders>
              <w:top w:val="nil"/>
              <w:left w:val="nil"/>
              <w:bottom w:val="single" w:sz="4" w:space="0" w:color="auto"/>
              <w:right w:val="single" w:sz="4" w:space="0" w:color="auto"/>
            </w:tcBorders>
            <w:shd w:val="clear" w:color="auto" w:fill="auto"/>
            <w:vAlign w:val="center"/>
            <w:hideMark/>
          </w:tcPr>
          <w:p w14:paraId="7AE045F3"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 por establecer fecha</w:t>
            </w:r>
          </w:p>
        </w:tc>
        <w:tc>
          <w:tcPr>
            <w:tcW w:w="1774" w:type="dxa"/>
            <w:tcBorders>
              <w:top w:val="nil"/>
              <w:left w:val="nil"/>
              <w:bottom w:val="single" w:sz="4" w:space="0" w:color="auto"/>
              <w:right w:val="single" w:sz="4" w:space="0" w:color="auto"/>
            </w:tcBorders>
            <w:shd w:val="clear" w:color="auto" w:fill="auto"/>
            <w:vAlign w:val="center"/>
            <w:hideMark/>
          </w:tcPr>
          <w:p w14:paraId="08E8654E"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77DE629C"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DE4BFAE"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Corpocaldas</w:t>
            </w:r>
          </w:p>
        </w:tc>
        <w:tc>
          <w:tcPr>
            <w:tcW w:w="2121" w:type="dxa"/>
            <w:tcBorders>
              <w:top w:val="nil"/>
              <w:left w:val="nil"/>
              <w:bottom w:val="single" w:sz="4" w:space="0" w:color="auto"/>
              <w:right w:val="single" w:sz="4" w:space="0" w:color="auto"/>
            </w:tcBorders>
            <w:shd w:val="clear" w:color="auto" w:fill="auto"/>
            <w:vAlign w:val="center"/>
            <w:hideMark/>
          </w:tcPr>
          <w:p w14:paraId="4B9A6AE0" w14:textId="7AC60A8D"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Elmer Hernández Ramírez</w:t>
            </w:r>
            <w:r w:rsidRPr="00AB1C80">
              <w:rPr>
                <w:rFonts w:eastAsia="Times New Roman" w:cs="Arial"/>
                <w:color w:val="000000"/>
                <w:sz w:val="20"/>
                <w:szCs w:val="20"/>
                <w:lang w:eastAsia="es-CO"/>
              </w:rPr>
              <w:br/>
              <w:t>Juan Carlos Bastidas Tulcán</w:t>
            </w:r>
            <w:r w:rsidRPr="00AB1C80">
              <w:rPr>
                <w:rFonts w:eastAsia="Times New Roman" w:cs="Arial"/>
                <w:color w:val="000000"/>
                <w:sz w:val="20"/>
                <w:szCs w:val="20"/>
                <w:lang w:eastAsia="es-CO"/>
              </w:rPr>
              <w:br/>
              <w:t>María Carolina Rincón Cardona</w:t>
            </w:r>
          </w:p>
        </w:tc>
        <w:tc>
          <w:tcPr>
            <w:tcW w:w="3668" w:type="dxa"/>
            <w:tcBorders>
              <w:top w:val="nil"/>
              <w:left w:val="nil"/>
              <w:bottom w:val="single" w:sz="4" w:space="0" w:color="auto"/>
              <w:right w:val="single" w:sz="4" w:space="0" w:color="auto"/>
            </w:tcBorders>
            <w:shd w:val="clear" w:color="auto" w:fill="auto"/>
            <w:vAlign w:val="center"/>
            <w:hideMark/>
          </w:tcPr>
          <w:p w14:paraId="7E02E62B"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elmerhernandez@corpocaldas.gov.co</w:t>
            </w:r>
            <w:r w:rsidRPr="00AB1C80">
              <w:rPr>
                <w:rFonts w:eastAsia="Times New Roman" w:cs="Arial"/>
                <w:color w:val="000000"/>
                <w:sz w:val="20"/>
                <w:szCs w:val="20"/>
                <w:lang w:eastAsia="es-CO"/>
              </w:rPr>
              <w:br/>
              <w:t>juancbastidas@corpocaldas.gov.co</w:t>
            </w:r>
            <w:r w:rsidRPr="00AB1C80">
              <w:rPr>
                <w:rFonts w:eastAsia="Times New Roman" w:cs="Arial"/>
                <w:color w:val="000000"/>
                <w:sz w:val="20"/>
                <w:szCs w:val="20"/>
                <w:lang w:eastAsia="es-CO"/>
              </w:rPr>
              <w:br/>
              <w:t>mariacrincon@corpocaldas.gov.co</w:t>
            </w:r>
          </w:p>
        </w:tc>
        <w:tc>
          <w:tcPr>
            <w:tcW w:w="1301" w:type="dxa"/>
            <w:tcBorders>
              <w:top w:val="nil"/>
              <w:left w:val="nil"/>
              <w:bottom w:val="single" w:sz="4" w:space="0" w:color="auto"/>
              <w:right w:val="single" w:sz="4" w:space="0" w:color="auto"/>
            </w:tcBorders>
            <w:shd w:val="clear" w:color="auto" w:fill="auto"/>
            <w:vAlign w:val="center"/>
            <w:hideMark/>
          </w:tcPr>
          <w:p w14:paraId="5044F4CF"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 por establecer fecha</w:t>
            </w:r>
          </w:p>
        </w:tc>
        <w:tc>
          <w:tcPr>
            <w:tcW w:w="1774" w:type="dxa"/>
            <w:tcBorders>
              <w:top w:val="nil"/>
              <w:left w:val="nil"/>
              <w:bottom w:val="single" w:sz="4" w:space="0" w:color="auto"/>
              <w:right w:val="single" w:sz="4" w:space="0" w:color="auto"/>
            </w:tcBorders>
            <w:shd w:val="clear" w:color="auto" w:fill="auto"/>
            <w:vAlign w:val="center"/>
            <w:hideMark/>
          </w:tcPr>
          <w:p w14:paraId="00708657"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24AF220A"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97A04EB"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Ministerio de Ambiente y Desarrollo Sostenible / DGIRH</w:t>
            </w:r>
          </w:p>
        </w:tc>
        <w:tc>
          <w:tcPr>
            <w:tcW w:w="2121" w:type="dxa"/>
            <w:tcBorders>
              <w:top w:val="nil"/>
              <w:left w:val="nil"/>
              <w:bottom w:val="single" w:sz="4" w:space="0" w:color="auto"/>
              <w:right w:val="single" w:sz="4" w:space="0" w:color="auto"/>
            </w:tcBorders>
            <w:shd w:val="clear" w:color="auto" w:fill="auto"/>
            <w:vAlign w:val="center"/>
            <w:hideMark/>
          </w:tcPr>
          <w:p w14:paraId="491B6F55"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Carlos Andrés Palacio Muñoz</w:t>
            </w:r>
          </w:p>
        </w:tc>
        <w:tc>
          <w:tcPr>
            <w:tcW w:w="3668" w:type="dxa"/>
            <w:tcBorders>
              <w:top w:val="nil"/>
              <w:left w:val="nil"/>
              <w:bottom w:val="single" w:sz="4" w:space="0" w:color="auto"/>
              <w:right w:val="single" w:sz="4" w:space="0" w:color="auto"/>
            </w:tcBorders>
            <w:shd w:val="clear" w:color="auto" w:fill="auto"/>
            <w:vAlign w:val="center"/>
            <w:hideMark/>
          </w:tcPr>
          <w:p w14:paraId="3C8AE00D"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cpalacio@minambiente.gov.co</w:t>
            </w:r>
          </w:p>
        </w:tc>
        <w:tc>
          <w:tcPr>
            <w:tcW w:w="1301" w:type="dxa"/>
            <w:tcBorders>
              <w:top w:val="nil"/>
              <w:left w:val="nil"/>
              <w:bottom w:val="single" w:sz="4" w:space="0" w:color="auto"/>
              <w:right w:val="single" w:sz="4" w:space="0" w:color="auto"/>
            </w:tcBorders>
            <w:shd w:val="clear" w:color="auto" w:fill="auto"/>
            <w:vAlign w:val="center"/>
            <w:hideMark/>
          </w:tcPr>
          <w:p w14:paraId="36C23A33"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 por establecer fecha</w:t>
            </w:r>
          </w:p>
        </w:tc>
        <w:tc>
          <w:tcPr>
            <w:tcW w:w="1774" w:type="dxa"/>
            <w:tcBorders>
              <w:top w:val="nil"/>
              <w:left w:val="nil"/>
              <w:bottom w:val="single" w:sz="4" w:space="0" w:color="auto"/>
              <w:right w:val="single" w:sz="4" w:space="0" w:color="auto"/>
            </w:tcBorders>
            <w:shd w:val="clear" w:color="auto" w:fill="auto"/>
            <w:vAlign w:val="center"/>
            <w:hideMark/>
          </w:tcPr>
          <w:p w14:paraId="543F8A7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7729FA64"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6DB99F50"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ANLA</w:t>
            </w:r>
          </w:p>
        </w:tc>
        <w:tc>
          <w:tcPr>
            <w:tcW w:w="2121" w:type="dxa"/>
            <w:tcBorders>
              <w:top w:val="nil"/>
              <w:left w:val="nil"/>
              <w:bottom w:val="single" w:sz="4" w:space="0" w:color="auto"/>
              <w:right w:val="single" w:sz="4" w:space="0" w:color="auto"/>
            </w:tcBorders>
            <w:shd w:val="clear" w:color="auto" w:fill="auto"/>
            <w:noWrap/>
            <w:vAlign w:val="center"/>
            <w:hideMark/>
          </w:tcPr>
          <w:p w14:paraId="0521BD6C" w14:textId="184EBE1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Oscar David Cardona Sánchez</w:t>
            </w:r>
          </w:p>
        </w:tc>
        <w:tc>
          <w:tcPr>
            <w:tcW w:w="3668" w:type="dxa"/>
            <w:tcBorders>
              <w:top w:val="nil"/>
              <w:left w:val="nil"/>
              <w:bottom w:val="single" w:sz="4" w:space="0" w:color="auto"/>
              <w:right w:val="single" w:sz="4" w:space="0" w:color="auto"/>
            </w:tcBorders>
            <w:shd w:val="clear" w:color="auto" w:fill="auto"/>
            <w:vAlign w:val="center"/>
            <w:hideMark/>
          </w:tcPr>
          <w:p w14:paraId="7A6C875C"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oscardona04@gmail.com</w:t>
            </w:r>
          </w:p>
        </w:tc>
        <w:tc>
          <w:tcPr>
            <w:tcW w:w="1301" w:type="dxa"/>
            <w:tcBorders>
              <w:top w:val="nil"/>
              <w:left w:val="nil"/>
              <w:bottom w:val="single" w:sz="4" w:space="0" w:color="auto"/>
              <w:right w:val="single" w:sz="4" w:space="0" w:color="auto"/>
            </w:tcBorders>
            <w:shd w:val="clear" w:color="auto" w:fill="auto"/>
            <w:vAlign w:val="center"/>
            <w:hideMark/>
          </w:tcPr>
          <w:p w14:paraId="3091DE4B"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Pendiente por establecer fecha</w:t>
            </w:r>
          </w:p>
        </w:tc>
        <w:tc>
          <w:tcPr>
            <w:tcW w:w="1774" w:type="dxa"/>
            <w:tcBorders>
              <w:top w:val="nil"/>
              <w:left w:val="nil"/>
              <w:bottom w:val="single" w:sz="4" w:space="0" w:color="auto"/>
              <w:right w:val="single" w:sz="4" w:space="0" w:color="auto"/>
            </w:tcBorders>
            <w:shd w:val="clear" w:color="auto" w:fill="auto"/>
            <w:vAlign w:val="center"/>
            <w:hideMark/>
          </w:tcPr>
          <w:p w14:paraId="67099F1D"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1E392057"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077CCE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Agencia Nacional de Minería - ANM</w:t>
            </w:r>
          </w:p>
        </w:tc>
        <w:tc>
          <w:tcPr>
            <w:tcW w:w="2121" w:type="dxa"/>
            <w:tcBorders>
              <w:top w:val="nil"/>
              <w:left w:val="nil"/>
              <w:bottom w:val="single" w:sz="4" w:space="0" w:color="auto"/>
              <w:right w:val="single" w:sz="4" w:space="0" w:color="auto"/>
            </w:tcBorders>
            <w:shd w:val="clear" w:color="auto" w:fill="auto"/>
            <w:noWrap/>
            <w:vAlign w:val="center"/>
            <w:hideMark/>
          </w:tcPr>
          <w:p w14:paraId="2EFBCC00"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Fabio Antonio Gutiérrez Camacho</w:t>
            </w:r>
          </w:p>
        </w:tc>
        <w:tc>
          <w:tcPr>
            <w:tcW w:w="3668" w:type="dxa"/>
            <w:tcBorders>
              <w:top w:val="nil"/>
              <w:left w:val="nil"/>
              <w:bottom w:val="single" w:sz="4" w:space="0" w:color="auto"/>
              <w:right w:val="single" w:sz="4" w:space="0" w:color="auto"/>
            </w:tcBorders>
            <w:shd w:val="clear" w:color="auto" w:fill="auto"/>
            <w:vAlign w:val="center"/>
            <w:hideMark/>
          </w:tcPr>
          <w:p w14:paraId="0CCDE3EF"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fabio.gutierrez@anm.gov.co</w:t>
            </w:r>
          </w:p>
        </w:tc>
        <w:tc>
          <w:tcPr>
            <w:tcW w:w="1301" w:type="dxa"/>
            <w:tcBorders>
              <w:top w:val="nil"/>
              <w:left w:val="nil"/>
              <w:bottom w:val="single" w:sz="4" w:space="0" w:color="auto"/>
              <w:right w:val="single" w:sz="4" w:space="0" w:color="auto"/>
            </w:tcBorders>
            <w:shd w:val="clear" w:color="auto" w:fill="auto"/>
            <w:vAlign w:val="center"/>
            <w:hideMark/>
          </w:tcPr>
          <w:p w14:paraId="51AE09AF"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1CB671D1"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0EF02109"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09A730A"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Agencia Nacional de Minería - ANM / VSCSM / Grupo Estudios Técnicos</w:t>
            </w:r>
          </w:p>
        </w:tc>
        <w:tc>
          <w:tcPr>
            <w:tcW w:w="2121" w:type="dxa"/>
            <w:tcBorders>
              <w:top w:val="nil"/>
              <w:left w:val="nil"/>
              <w:bottom w:val="single" w:sz="4" w:space="0" w:color="auto"/>
              <w:right w:val="single" w:sz="4" w:space="0" w:color="auto"/>
            </w:tcBorders>
            <w:shd w:val="clear" w:color="auto" w:fill="auto"/>
            <w:vAlign w:val="center"/>
            <w:hideMark/>
          </w:tcPr>
          <w:p w14:paraId="103BFA69"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Karen Julieth Barrera Fernández </w:t>
            </w:r>
          </w:p>
        </w:tc>
        <w:tc>
          <w:tcPr>
            <w:tcW w:w="3668" w:type="dxa"/>
            <w:tcBorders>
              <w:top w:val="nil"/>
              <w:left w:val="nil"/>
              <w:bottom w:val="single" w:sz="4" w:space="0" w:color="auto"/>
              <w:right w:val="single" w:sz="4" w:space="0" w:color="auto"/>
            </w:tcBorders>
            <w:shd w:val="clear" w:color="auto" w:fill="auto"/>
            <w:vAlign w:val="center"/>
            <w:hideMark/>
          </w:tcPr>
          <w:p w14:paraId="68025553"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karen.barrera@anm.gov.co</w:t>
            </w:r>
          </w:p>
        </w:tc>
        <w:tc>
          <w:tcPr>
            <w:tcW w:w="1301" w:type="dxa"/>
            <w:tcBorders>
              <w:top w:val="nil"/>
              <w:left w:val="nil"/>
              <w:bottom w:val="single" w:sz="4" w:space="0" w:color="auto"/>
              <w:right w:val="single" w:sz="4" w:space="0" w:color="auto"/>
            </w:tcBorders>
            <w:shd w:val="clear" w:color="auto" w:fill="auto"/>
            <w:vAlign w:val="center"/>
            <w:hideMark/>
          </w:tcPr>
          <w:p w14:paraId="3C90406C"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05043EF6"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1512D880"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D301C8E"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Agencia Nacional de Minería - Valledupar</w:t>
            </w:r>
          </w:p>
        </w:tc>
        <w:tc>
          <w:tcPr>
            <w:tcW w:w="2121" w:type="dxa"/>
            <w:tcBorders>
              <w:top w:val="nil"/>
              <w:left w:val="nil"/>
              <w:bottom w:val="single" w:sz="4" w:space="0" w:color="auto"/>
              <w:right w:val="single" w:sz="4" w:space="0" w:color="auto"/>
            </w:tcBorders>
            <w:shd w:val="clear" w:color="auto" w:fill="auto"/>
            <w:noWrap/>
            <w:vAlign w:val="center"/>
            <w:hideMark/>
          </w:tcPr>
          <w:p w14:paraId="29C43599"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Indira Carbajal </w:t>
            </w:r>
          </w:p>
        </w:tc>
        <w:tc>
          <w:tcPr>
            <w:tcW w:w="3668" w:type="dxa"/>
            <w:tcBorders>
              <w:top w:val="nil"/>
              <w:left w:val="nil"/>
              <w:bottom w:val="single" w:sz="4" w:space="0" w:color="auto"/>
              <w:right w:val="single" w:sz="4" w:space="0" w:color="auto"/>
            </w:tcBorders>
            <w:shd w:val="clear" w:color="auto" w:fill="auto"/>
            <w:vAlign w:val="center"/>
            <w:hideMark/>
          </w:tcPr>
          <w:p w14:paraId="67490965"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indira.carvajal@anm.gov.co</w:t>
            </w:r>
          </w:p>
        </w:tc>
        <w:tc>
          <w:tcPr>
            <w:tcW w:w="1301" w:type="dxa"/>
            <w:tcBorders>
              <w:top w:val="nil"/>
              <w:left w:val="nil"/>
              <w:bottom w:val="single" w:sz="4" w:space="0" w:color="auto"/>
              <w:right w:val="single" w:sz="4" w:space="0" w:color="auto"/>
            </w:tcBorders>
            <w:shd w:val="clear" w:color="auto" w:fill="auto"/>
            <w:vAlign w:val="center"/>
            <w:hideMark/>
          </w:tcPr>
          <w:p w14:paraId="77FA4739"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578B4640"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7BBE73E5"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F085269"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Agencia Nacional de Minería PAR Manizales</w:t>
            </w:r>
          </w:p>
        </w:tc>
        <w:tc>
          <w:tcPr>
            <w:tcW w:w="2121" w:type="dxa"/>
            <w:tcBorders>
              <w:top w:val="nil"/>
              <w:left w:val="nil"/>
              <w:bottom w:val="single" w:sz="4" w:space="0" w:color="auto"/>
              <w:right w:val="single" w:sz="4" w:space="0" w:color="auto"/>
            </w:tcBorders>
            <w:shd w:val="clear" w:color="auto" w:fill="auto"/>
            <w:noWrap/>
            <w:vAlign w:val="center"/>
            <w:hideMark/>
          </w:tcPr>
          <w:p w14:paraId="4D4E4A8E"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Gabriel Patiño Velásquez</w:t>
            </w:r>
          </w:p>
        </w:tc>
        <w:tc>
          <w:tcPr>
            <w:tcW w:w="3668" w:type="dxa"/>
            <w:tcBorders>
              <w:top w:val="nil"/>
              <w:left w:val="nil"/>
              <w:bottom w:val="single" w:sz="4" w:space="0" w:color="auto"/>
              <w:right w:val="single" w:sz="4" w:space="0" w:color="auto"/>
            </w:tcBorders>
            <w:shd w:val="clear" w:color="auto" w:fill="auto"/>
            <w:vAlign w:val="center"/>
            <w:hideMark/>
          </w:tcPr>
          <w:p w14:paraId="4F8EFD35"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gabriel.patino@anm.gov.co</w:t>
            </w:r>
          </w:p>
        </w:tc>
        <w:tc>
          <w:tcPr>
            <w:tcW w:w="1301" w:type="dxa"/>
            <w:tcBorders>
              <w:top w:val="nil"/>
              <w:left w:val="nil"/>
              <w:bottom w:val="single" w:sz="4" w:space="0" w:color="auto"/>
              <w:right w:val="single" w:sz="4" w:space="0" w:color="auto"/>
            </w:tcBorders>
            <w:shd w:val="clear" w:color="auto" w:fill="auto"/>
            <w:vAlign w:val="center"/>
            <w:hideMark/>
          </w:tcPr>
          <w:p w14:paraId="3B94A901"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51246188"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4D276D70"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471220F"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Basura Cero</w:t>
            </w:r>
          </w:p>
        </w:tc>
        <w:tc>
          <w:tcPr>
            <w:tcW w:w="2121" w:type="dxa"/>
            <w:tcBorders>
              <w:top w:val="nil"/>
              <w:left w:val="nil"/>
              <w:bottom w:val="single" w:sz="4" w:space="0" w:color="auto"/>
              <w:right w:val="single" w:sz="4" w:space="0" w:color="auto"/>
            </w:tcBorders>
            <w:shd w:val="clear" w:color="auto" w:fill="auto"/>
            <w:vAlign w:val="center"/>
            <w:hideMark/>
          </w:tcPr>
          <w:p w14:paraId="13347BAF" w14:textId="6E360738"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Diego Camilo Romero Sandra Milena Pinzón</w:t>
            </w:r>
          </w:p>
        </w:tc>
        <w:tc>
          <w:tcPr>
            <w:tcW w:w="3668" w:type="dxa"/>
            <w:tcBorders>
              <w:top w:val="nil"/>
              <w:left w:val="nil"/>
              <w:bottom w:val="single" w:sz="4" w:space="0" w:color="auto"/>
              <w:right w:val="single" w:sz="4" w:space="0" w:color="auto"/>
            </w:tcBorders>
            <w:shd w:val="clear" w:color="auto" w:fill="auto"/>
            <w:vAlign w:val="center"/>
            <w:hideMark/>
          </w:tcPr>
          <w:p w14:paraId="5F79A112"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diego.romero@basuraceroglobal.com</w:t>
            </w:r>
            <w:r w:rsidRPr="00AB1C80">
              <w:rPr>
                <w:rFonts w:eastAsia="Times New Roman" w:cs="Arial"/>
                <w:color w:val="000000"/>
                <w:sz w:val="20"/>
                <w:szCs w:val="20"/>
                <w:lang w:eastAsia="es-CO"/>
              </w:rPr>
              <w:br/>
              <w:t>sandra.pinzon@basuraceroglobal.com</w:t>
            </w:r>
          </w:p>
        </w:tc>
        <w:tc>
          <w:tcPr>
            <w:tcW w:w="1301" w:type="dxa"/>
            <w:tcBorders>
              <w:top w:val="nil"/>
              <w:left w:val="nil"/>
              <w:bottom w:val="single" w:sz="4" w:space="0" w:color="auto"/>
              <w:right w:val="single" w:sz="4" w:space="0" w:color="auto"/>
            </w:tcBorders>
            <w:shd w:val="clear" w:color="auto" w:fill="auto"/>
            <w:vAlign w:val="center"/>
            <w:hideMark/>
          </w:tcPr>
          <w:p w14:paraId="582507BA"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1FA662C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0A491328"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C9E4E08"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Codechocó</w:t>
            </w:r>
          </w:p>
        </w:tc>
        <w:tc>
          <w:tcPr>
            <w:tcW w:w="2121" w:type="dxa"/>
            <w:tcBorders>
              <w:top w:val="nil"/>
              <w:left w:val="nil"/>
              <w:bottom w:val="single" w:sz="4" w:space="0" w:color="auto"/>
              <w:right w:val="single" w:sz="4" w:space="0" w:color="auto"/>
            </w:tcBorders>
            <w:shd w:val="clear" w:color="auto" w:fill="auto"/>
            <w:noWrap/>
            <w:vAlign w:val="center"/>
            <w:hideMark/>
          </w:tcPr>
          <w:p w14:paraId="60247BC5"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Varnady Arboleda Montañez</w:t>
            </w:r>
          </w:p>
        </w:tc>
        <w:tc>
          <w:tcPr>
            <w:tcW w:w="3668" w:type="dxa"/>
            <w:tcBorders>
              <w:top w:val="nil"/>
              <w:left w:val="nil"/>
              <w:bottom w:val="single" w:sz="4" w:space="0" w:color="auto"/>
              <w:right w:val="single" w:sz="4" w:space="0" w:color="auto"/>
            </w:tcBorders>
            <w:shd w:val="clear" w:color="auto" w:fill="auto"/>
            <w:vAlign w:val="center"/>
            <w:hideMark/>
          </w:tcPr>
          <w:p w14:paraId="72AD1FF0"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varnady@hotmail.com</w:t>
            </w:r>
          </w:p>
        </w:tc>
        <w:tc>
          <w:tcPr>
            <w:tcW w:w="1301" w:type="dxa"/>
            <w:tcBorders>
              <w:top w:val="nil"/>
              <w:left w:val="nil"/>
              <w:bottom w:val="single" w:sz="4" w:space="0" w:color="auto"/>
              <w:right w:val="single" w:sz="4" w:space="0" w:color="auto"/>
            </w:tcBorders>
            <w:shd w:val="clear" w:color="auto" w:fill="auto"/>
            <w:vAlign w:val="center"/>
            <w:hideMark/>
          </w:tcPr>
          <w:p w14:paraId="76AF1F30"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374C6EF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43A1C4DC"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070A5D2"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Coratlantico</w:t>
            </w:r>
          </w:p>
        </w:tc>
        <w:tc>
          <w:tcPr>
            <w:tcW w:w="2121" w:type="dxa"/>
            <w:tcBorders>
              <w:top w:val="nil"/>
              <w:left w:val="nil"/>
              <w:bottom w:val="single" w:sz="4" w:space="0" w:color="auto"/>
              <w:right w:val="single" w:sz="4" w:space="0" w:color="auto"/>
            </w:tcBorders>
            <w:shd w:val="clear" w:color="auto" w:fill="auto"/>
            <w:vAlign w:val="center"/>
            <w:hideMark/>
          </w:tcPr>
          <w:p w14:paraId="6C963D48" w14:textId="40C410C4"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Aldemar Muñoz </w:t>
            </w:r>
            <w:r w:rsidRPr="00AB1C80">
              <w:rPr>
                <w:rFonts w:eastAsia="Times New Roman" w:cs="Arial"/>
                <w:color w:val="000000"/>
                <w:sz w:val="20"/>
                <w:szCs w:val="20"/>
                <w:lang w:eastAsia="es-CO"/>
              </w:rPr>
              <w:br/>
              <w:t>Ana Cordero Campo</w:t>
            </w:r>
            <w:r w:rsidRPr="00AB1C80">
              <w:rPr>
                <w:rFonts w:eastAsia="Times New Roman" w:cs="Arial"/>
                <w:color w:val="000000"/>
                <w:sz w:val="20"/>
                <w:szCs w:val="20"/>
                <w:lang w:eastAsia="es-CO"/>
              </w:rPr>
              <w:br/>
              <w:t>Javier Restrepo Vieco</w:t>
            </w:r>
          </w:p>
        </w:tc>
        <w:tc>
          <w:tcPr>
            <w:tcW w:w="3668" w:type="dxa"/>
            <w:tcBorders>
              <w:top w:val="nil"/>
              <w:left w:val="nil"/>
              <w:bottom w:val="single" w:sz="4" w:space="0" w:color="auto"/>
              <w:right w:val="single" w:sz="4" w:space="0" w:color="auto"/>
            </w:tcBorders>
            <w:shd w:val="clear" w:color="auto" w:fill="auto"/>
            <w:vAlign w:val="center"/>
            <w:hideMark/>
          </w:tcPr>
          <w:p w14:paraId="5AB9E4BF"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amunoz@crautonoma.gov.co</w:t>
            </w:r>
            <w:r w:rsidRPr="00AB1C80">
              <w:rPr>
                <w:rFonts w:eastAsia="Times New Roman" w:cs="Arial"/>
                <w:color w:val="000000"/>
                <w:sz w:val="20"/>
                <w:szCs w:val="20"/>
                <w:lang w:eastAsia="es-CO"/>
              </w:rPr>
              <w:br/>
              <w:t>acordero@crautonoma.gov.co</w:t>
            </w:r>
            <w:r w:rsidRPr="00AB1C80">
              <w:rPr>
                <w:rFonts w:eastAsia="Times New Roman" w:cs="Arial"/>
                <w:color w:val="000000"/>
                <w:sz w:val="20"/>
                <w:szCs w:val="20"/>
                <w:lang w:eastAsia="es-CO"/>
              </w:rPr>
              <w:br/>
              <w:t>jrestrepo@crautonoma.gov.co</w:t>
            </w:r>
          </w:p>
        </w:tc>
        <w:tc>
          <w:tcPr>
            <w:tcW w:w="1301" w:type="dxa"/>
            <w:tcBorders>
              <w:top w:val="nil"/>
              <w:left w:val="nil"/>
              <w:bottom w:val="single" w:sz="4" w:space="0" w:color="auto"/>
              <w:right w:val="single" w:sz="4" w:space="0" w:color="auto"/>
            </w:tcBorders>
            <w:shd w:val="clear" w:color="auto" w:fill="auto"/>
            <w:vAlign w:val="center"/>
            <w:hideMark/>
          </w:tcPr>
          <w:p w14:paraId="28895B50"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3880E36E"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08F007E5"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3009F3DB"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Cormacarena</w:t>
            </w:r>
          </w:p>
        </w:tc>
        <w:tc>
          <w:tcPr>
            <w:tcW w:w="2121" w:type="dxa"/>
            <w:tcBorders>
              <w:top w:val="nil"/>
              <w:left w:val="nil"/>
              <w:bottom w:val="single" w:sz="4" w:space="0" w:color="auto"/>
              <w:right w:val="single" w:sz="4" w:space="0" w:color="auto"/>
            </w:tcBorders>
            <w:shd w:val="clear" w:color="auto" w:fill="auto"/>
            <w:vAlign w:val="center"/>
            <w:hideMark/>
          </w:tcPr>
          <w:p w14:paraId="08DCDA6D" w14:textId="207B4A19"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Diego Rodríguez</w:t>
            </w:r>
          </w:p>
        </w:tc>
        <w:tc>
          <w:tcPr>
            <w:tcW w:w="3668" w:type="dxa"/>
            <w:tcBorders>
              <w:top w:val="nil"/>
              <w:left w:val="nil"/>
              <w:bottom w:val="single" w:sz="4" w:space="0" w:color="auto"/>
              <w:right w:val="single" w:sz="4" w:space="0" w:color="auto"/>
            </w:tcBorders>
            <w:shd w:val="clear" w:color="auto" w:fill="auto"/>
            <w:vAlign w:val="center"/>
            <w:hideMark/>
          </w:tcPr>
          <w:p w14:paraId="1BB42E1D"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diego.rodriguez@cormacarena.gov.co</w:t>
            </w:r>
          </w:p>
        </w:tc>
        <w:tc>
          <w:tcPr>
            <w:tcW w:w="1301" w:type="dxa"/>
            <w:tcBorders>
              <w:top w:val="nil"/>
              <w:left w:val="nil"/>
              <w:bottom w:val="single" w:sz="4" w:space="0" w:color="auto"/>
              <w:right w:val="single" w:sz="4" w:space="0" w:color="auto"/>
            </w:tcBorders>
            <w:shd w:val="clear" w:color="auto" w:fill="auto"/>
            <w:vAlign w:val="center"/>
            <w:hideMark/>
          </w:tcPr>
          <w:p w14:paraId="6A59CFF2"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128B66B6"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014FE0AD"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B6BA35F"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Corpocesar</w:t>
            </w:r>
          </w:p>
        </w:tc>
        <w:tc>
          <w:tcPr>
            <w:tcW w:w="2121" w:type="dxa"/>
            <w:tcBorders>
              <w:top w:val="nil"/>
              <w:left w:val="nil"/>
              <w:bottom w:val="single" w:sz="4" w:space="0" w:color="auto"/>
              <w:right w:val="single" w:sz="4" w:space="0" w:color="auto"/>
            </w:tcBorders>
            <w:shd w:val="clear" w:color="auto" w:fill="auto"/>
            <w:noWrap/>
            <w:vAlign w:val="center"/>
            <w:hideMark/>
          </w:tcPr>
          <w:p w14:paraId="6B6762C7"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Jhon Valle Cuello</w:t>
            </w:r>
          </w:p>
        </w:tc>
        <w:tc>
          <w:tcPr>
            <w:tcW w:w="3668" w:type="dxa"/>
            <w:tcBorders>
              <w:top w:val="nil"/>
              <w:left w:val="nil"/>
              <w:bottom w:val="single" w:sz="4" w:space="0" w:color="auto"/>
              <w:right w:val="single" w:sz="4" w:space="0" w:color="auto"/>
            </w:tcBorders>
            <w:shd w:val="clear" w:color="auto" w:fill="auto"/>
            <w:vAlign w:val="center"/>
            <w:hideMark/>
          </w:tcPr>
          <w:p w14:paraId="78456274"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direcciongeneral@corpocesar.gov.co</w:t>
            </w:r>
          </w:p>
        </w:tc>
        <w:tc>
          <w:tcPr>
            <w:tcW w:w="1301" w:type="dxa"/>
            <w:tcBorders>
              <w:top w:val="nil"/>
              <w:left w:val="nil"/>
              <w:bottom w:val="single" w:sz="4" w:space="0" w:color="auto"/>
              <w:right w:val="single" w:sz="4" w:space="0" w:color="auto"/>
            </w:tcBorders>
            <w:shd w:val="clear" w:color="auto" w:fill="auto"/>
            <w:vAlign w:val="center"/>
            <w:hideMark/>
          </w:tcPr>
          <w:p w14:paraId="18DEE737"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3A58F230"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r w:rsidR="002B7DD4" w:rsidRPr="00AB1C80" w14:paraId="0A6C80EF" w14:textId="77777777" w:rsidTr="000A59FD">
        <w:trPr>
          <w:trHeight w:val="2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06AFA07"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Corpoguajira</w:t>
            </w:r>
          </w:p>
        </w:tc>
        <w:tc>
          <w:tcPr>
            <w:tcW w:w="2121" w:type="dxa"/>
            <w:tcBorders>
              <w:top w:val="nil"/>
              <w:left w:val="nil"/>
              <w:bottom w:val="single" w:sz="4" w:space="0" w:color="auto"/>
              <w:right w:val="single" w:sz="4" w:space="0" w:color="auto"/>
            </w:tcBorders>
            <w:shd w:val="clear" w:color="auto" w:fill="auto"/>
            <w:vAlign w:val="center"/>
            <w:hideMark/>
          </w:tcPr>
          <w:p w14:paraId="5306CCB0" w14:textId="40232DE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Didier Rey Rodríguez</w:t>
            </w:r>
            <w:r w:rsidRPr="00AB1C80">
              <w:rPr>
                <w:rFonts w:eastAsia="Times New Roman" w:cs="Arial"/>
                <w:color w:val="000000"/>
                <w:sz w:val="20"/>
                <w:szCs w:val="20"/>
                <w:lang w:eastAsia="es-CO"/>
              </w:rPr>
              <w:br/>
              <w:t>Dubis Beatriz Daza</w:t>
            </w:r>
            <w:r w:rsidRPr="00AB1C80">
              <w:rPr>
                <w:rFonts w:eastAsia="Times New Roman" w:cs="Arial"/>
                <w:color w:val="000000"/>
                <w:sz w:val="20"/>
                <w:szCs w:val="20"/>
                <w:lang w:eastAsia="es-CO"/>
              </w:rPr>
              <w:br/>
              <w:t xml:space="preserve">Eder Acuña Parody </w:t>
            </w:r>
          </w:p>
        </w:tc>
        <w:tc>
          <w:tcPr>
            <w:tcW w:w="3668" w:type="dxa"/>
            <w:tcBorders>
              <w:top w:val="nil"/>
              <w:left w:val="nil"/>
              <w:bottom w:val="single" w:sz="4" w:space="0" w:color="auto"/>
              <w:right w:val="single" w:sz="4" w:space="0" w:color="auto"/>
            </w:tcBorders>
            <w:shd w:val="clear" w:color="auto" w:fill="auto"/>
            <w:vAlign w:val="center"/>
            <w:hideMark/>
          </w:tcPr>
          <w:p w14:paraId="46E761C4" w14:textId="77777777" w:rsidR="002B7DD4" w:rsidRPr="00AB1C80" w:rsidRDefault="002B7DD4"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d.rey@corpoguajira.gov.co</w:t>
            </w:r>
            <w:r w:rsidRPr="00AB1C80">
              <w:rPr>
                <w:rFonts w:eastAsia="Times New Roman" w:cs="Arial"/>
                <w:color w:val="000000"/>
                <w:sz w:val="20"/>
                <w:szCs w:val="20"/>
                <w:lang w:eastAsia="es-CO"/>
              </w:rPr>
              <w:br/>
              <w:t>j.vega@corpoguajira.gov.co</w:t>
            </w:r>
            <w:r w:rsidRPr="00AB1C80">
              <w:rPr>
                <w:rFonts w:eastAsia="Times New Roman" w:cs="Arial"/>
                <w:color w:val="000000"/>
                <w:sz w:val="20"/>
                <w:szCs w:val="20"/>
                <w:lang w:eastAsia="es-CO"/>
              </w:rPr>
              <w:br/>
              <w:t>secretaria.gestion@corpoguajira.gov.co</w:t>
            </w:r>
          </w:p>
        </w:tc>
        <w:tc>
          <w:tcPr>
            <w:tcW w:w="1301" w:type="dxa"/>
            <w:tcBorders>
              <w:top w:val="nil"/>
              <w:left w:val="nil"/>
              <w:bottom w:val="single" w:sz="4" w:space="0" w:color="auto"/>
              <w:right w:val="single" w:sz="4" w:space="0" w:color="auto"/>
            </w:tcBorders>
            <w:shd w:val="clear" w:color="auto" w:fill="auto"/>
            <w:vAlign w:val="center"/>
            <w:hideMark/>
          </w:tcPr>
          <w:p w14:paraId="359E7046" w14:textId="77777777" w:rsidR="002B7DD4" w:rsidRPr="00AB1C80" w:rsidRDefault="002B7DD4"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No se logró contactar</w:t>
            </w:r>
          </w:p>
        </w:tc>
        <w:tc>
          <w:tcPr>
            <w:tcW w:w="1774" w:type="dxa"/>
            <w:tcBorders>
              <w:top w:val="nil"/>
              <w:left w:val="nil"/>
              <w:bottom w:val="single" w:sz="4" w:space="0" w:color="auto"/>
              <w:right w:val="single" w:sz="4" w:space="0" w:color="auto"/>
            </w:tcBorders>
            <w:shd w:val="clear" w:color="auto" w:fill="auto"/>
            <w:vAlign w:val="center"/>
            <w:hideMark/>
          </w:tcPr>
          <w:p w14:paraId="1A45FFA1" w14:textId="77777777" w:rsidR="002B7DD4" w:rsidRPr="00AB1C80" w:rsidRDefault="002B7DD4"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w:t>
            </w:r>
          </w:p>
        </w:tc>
      </w:tr>
    </w:tbl>
    <w:p w14:paraId="26E05D3F" w14:textId="305DD43F" w:rsidR="00534241" w:rsidRPr="00AB1C80" w:rsidRDefault="002B7DD4" w:rsidP="00AB1C80">
      <w:pPr>
        <w:pStyle w:val="Fuente"/>
        <w:spacing w:line="276" w:lineRule="auto"/>
        <w:rPr>
          <w:rFonts w:cs="Arial"/>
          <w:szCs w:val="24"/>
          <w:lang w:val="es-CO"/>
        </w:rPr>
      </w:pPr>
      <w:r w:rsidRPr="00AB1C80">
        <w:rPr>
          <w:rFonts w:cs="Arial"/>
          <w:lang w:val="es-CO"/>
        </w:rPr>
        <w:t>Fuente: ATG Ltda., 2021.</w:t>
      </w:r>
    </w:p>
    <w:p w14:paraId="11EFF8A0" w14:textId="77777777" w:rsidR="00366991" w:rsidRPr="00AB1C80" w:rsidRDefault="00366991" w:rsidP="00AB1C80">
      <w:pPr>
        <w:spacing w:line="276" w:lineRule="auto"/>
        <w:rPr>
          <w:rFonts w:cs="Arial"/>
          <w:color w:val="000000" w:themeColor="text1"/>
        </w:rPr>
      </w:pPr>
    </w:p>
    <w:p w14:paraId="0B9889DA" w14:textId="77777777" w:rsidR="00113126" w:rsidRPr="00AB1C80" w:rsidRDefault="00113126" w:rsidP="00AB1C80">
      <w:pPr>
        <w:pStyle w:val="Ttulo2"/>
        <w:spacing w:line="276" w:lineRule="auto"/>
        <w:rPr>
          <w:rFonts w:cs="Arial"/>
          <w:szCs w:val="24"/>
        </w:rPr>
      </w:pPr>
      <w:bookmarkStart w:id="29" w:name="_Toc56544149"/>
      <w:bookmarkStart w:id="30" w:name="_Toc86332915"/>
      <w:r w:rsidRPr="00AB1C80">
        <w:rPr>
          <w:rFonts w:cs="Arial"/>
          <w:szCs w:val="24"/>
        </w:rPr>
        <w:t>Etapas del proyecto</w:t>
      </w:r>
      <w:bookmarkEnd w:id="29"/>
      <w:bookmarkEnd w:id="30"/>
    </w:p>
    <w:p w14:paraId="75ED1BA7" w14:textId="77777777" w:rsidR="00113126" w:rsidRPr="00AB1C80" w:rsidRDefault="00113126" w:rsidP="00AB1C80">
      <w:pPr>
        <w:spacing w:line="276" w:lineRule="auto"/>
        <w:rPr>
          <w:rFonts w:cs="Arial"/>
          <w:color w:val="000000" w:themeColor="text1"/>
          <w:szCs w:val="24"/>
        </w:rPr>
      </w:pPr>
    </w:p>
    <w:p w14:paraId="244ABCFF" w14:textId="18982BC8" w:rsidR="00113126" w:rsidRPr="00AB1C80" w:rsidRDefault="00EF2B9A" w:rsidP="00AB1C80">
      <w:pPr>
        <w:spacing w:line="276" w:lineRule="auto"/>
        <w:rPr>
          <w:rFonts w:cs="Arial"/>
          <w:color w:val="000000" w:themeColor="text1"/>
          <w:szCs w:val="24"/>
        </w:rPr>
      </w:pPr>
      <w:r w:rsidRPr="00AB1C80">
        <w:rPr>
          <w:rFonts w:cs="Arial"/>
          <w:color w:val="000000" w:themeColor="text1"/>
          <w:szCs w:val="24"/>
        </w:rPr>
        <w:t>Para el desarrollo de</w:t>
      </w:r>
      <w:r w:rsidR="00113126" w:rsidRPr="00AB1C80">
        <w:rPr>
          <w:rFonts w:cs="Arial"/>
          <w:color w:val="000000" w:themeColor="text1"/>
          <w:szCs w:val="24"/>
        </w:rPr>
        <w:t xml:space="preserve">l Contrato de Consultoría </w:t>
      </w:r>
      <w:r w:rsidR="00421CEB" w:rsidRPr="00AB1C80">
        <w:rPr>
          <w:rFonts w:cs="Arial"/>
          <w:color w:val="000000" w:themeColor="text1"/>
          <w:szCs w:val="24"/>
        </w:rPr>
        <w:t>GGC-606-2021</w:t>
      </w:r>
      <w:r w:rsidR="00113126" w:rsidRPr="00AB1C80">
        <w:rPr>
          <w:rFonts w:cs="Arial"/>
          <w:color w:val="000000" w:themeColor="text1"/>
          <w:szCs w:val="24"/>
        </w:rPr>
        <w:t xml:space="preserve"> se establecieron las siguientes etapas. </w:t>
      </w:r>
    </w:p>
    <w:p w14:paraId="624148B1" w14:textId="77777777" w:rsidR="00113126" w:rsidRPr="00AB1C80" w:rsidRDefault="00113126" w:rsidP="00AB1C80">
      <w:pPr>
        <w:spacing w:line="276" w:lineRule="auto"/>
        <w:rPr>
          <w:rFonts w:cs="Arial"/>
          <w:color w:val="000000" w:themeColor="text1"/>
          <w:szCs w:val="24"/>
        </w:rPr>
      </w:pPr>
    </w:p>
    <w:p w14:paraId="7D8EA821" w14:textId="377ADF0C" w:rsidR="00113126" w:rsidRPr="00AB1C80" w:rsidRDefault="00113126" w:rsidP="00AB1C80">
      <w:pPr>
        <w:spacing w:line="276" w:lineRule="auto"/>
        <w:rPr>
          <w:rFonts w:cs="Arial"/>
          <w:color w:val="000000" w:themeColor="text1"/>
          <w:szCs w:val="24"/>
        </w:rPr>
      </w:pPr>
      <w:r w:rsidRPr="00AB1C80">
        <w:rPr>
          <w:rFonts w:cs="Arial"/>
          <w:b/>
          <w:bCs/>
          <w:color w:val="000000" w:themeColor="text1"/>
          <w:szCs w:val="24"/>
        </w:rPr>
        <w:t>Planeación:</w:t>
      </w:r>
      <w:r w:rsidRPr="00AB1C80">
        <w:rPr>
          <w:rFonts w:cs="Arial"/>
          <w:color w:val="000000" w:themeColor="text1"/>
          <w:szCs w:val="24"/>
        </w:rPr>
        <w:t xml:space="preserve"> </w:t>
      </w:r>
      <w:r w:rsidR="00A77D7E" w:rsidRPr="00AB1C80">
        <w:rPr>
          <w:rFonts w:cs="Arial"/>
          <w:color w:val="000000" w:themeColor="text1"/>
          <w:szCs w:val="24"/>
        </w:rPr>
        <w:t>S</w:t>
      </w:r>
      <w:r w:rsidRPr="00AB1C80">
        <w:rPr>
          <w:rFonts w:cs="Arial"/>
          <w:color w:val="000000" w:themeColor="text1"/>
          <w:szCs w:val="24"/>
        </w:rPr>
        <w:t xml:space="preserve">e realizó la planeación de las actividades para el desarrollo del proyecto mediante la </w:t>
      </w:r>
      <w:r w:rsidR="00EF2B9A" w:rsidRPr="00AB1C80">
        <w:rPr>
          <w:rFonts w:cs="Arial"/>
          <w:color w:val="000000" w:themeColor="text1"/>
          <w:szCs w:val="24"/>
        </w:rPr>
        <w:t>elaboración</w:t>
      </w:r>
      <w:r w:rsidRPr="00AB1C80">
        <w:rPr>
          <w:rFonts w:cs="Arial"/>
          <w:color w:val="000000" w:themeColor="text1"/>
          <w:szCs w:val="24"/>
        </w:rPr>
        <w:t xml:space="preserve"> de un plan de trabajo, cronograma, metodología y matriz de comunicaciones y riesgos. Contemplando recursos, responsables, tiempos y objetivos.</w:t>
      </w:r>
    </w:p>
    <w:p w14:paraId="64D50787" w14:textId="77777777" w:rsidR="00113126" w:rsidRPr="00AB1C80" w:rsidRDefault="00113126" w:rsidP="00AB1C80">
      <w:pPr>
        <w:spacing w:line="276" w:lineRule="auto"/>
        <w:rPr>
          <w:rFonts w:cs="Arial"/>
          <w:color w:val="000000" w:themeColor="text1"/>
          <w:szCs w:val="24"/>
        </w:rPr>
      </w:pPr>
    </w:p>
    <w:p w14:paraId="5B8EA487" w14:textId="1C041121" w:rsidR="00113126" w:rsidRPr="00AB1C80" w:rsidRDefault="00113126" w:rsidP="00AB1C80">
      <w:pPr>
        <w:spacing w:line="276" w:lineRule="auto"/>
        <w:rPr>
          <w:rFonts w:cs="Arial"/>
          <w:color w:val="000000" w:themeColor="text1"/>
          <w:szCs w:val="24"/>
        </w:rPr>
      </w:pPr>
      <w:r w:rsidRPr="00AB1C80">
        <w:rPr>
          <w:rFonts w:cs="Arial"/>
          <w:b/>
          <w:bCs/>
          <w:color w:val="000000" w:themeColor="text1"/>
          <w:szCs w:val="24"/>
        </w:rPr>
        <w:t xml:space="preserve">Recopilación y análisis de información: </w:t>
      </w:r>
      <w:r w:rsidR="00DC1919" w:rsidRPr="00AB1C80">
        <w:rPr>
          <w:rFonts w:cs="Arial"/>
          <w:color w:val="000000" w:themeColor="text1"/>
          <w:szCs w:val="24"/>
        </w:rPr>
        <w:t>S</w:t>
      </w:r>
      <w:r w:rsidRPr="00AB1C80">
        <w:rPr>
          <w:rFonts w:cs="Arial"/>
          <w:color w:val="000000" w:themeColor="text1"/>
          <w:szCs w:val="24"/>
        </w:rPr>
        <w:t>e realizó la recopilación, interpretación y análisis de información primaria y secundaria de los procesos relacionados con</w:t>
      </w:r>
      <w:r w:rsidR="0093183B" w:rsidRPr="00AB1C80">
        <w:rPr>
          <w:rFonts w:cs="Arial"/>
          <w:color w:val="000000" w:themeColor="text1"/>
          <w:szCs w:val="24"/>
        </w:rPr>
        <w:t xml:space="preserve"> </w:t>
      </w:r>
      <w:r w:rsidR="00BB412E" w:rsidRPr="00AB1C80">
        <w:rPr>
          <w:rFonts w:cs="Arial"/>
          <w:color w:val="000000" w:themeColor="text1"/>
          <w:szCs w:val="24"/>
        </w:rPr>
        <w:t>Gestión y Manejo de Estériles</w:t>
      </w:r>
      <w:r w:rsidR="00D90E5F" w:rsidRPr="00AB1C80">
        <w:rPr>
          <w:rFonts w:cs="Arial"/>
          <w:color w:val="000000" w:themeColor="text1"/>
          <w:szCs w:val="24"/>
        </w:rPr>
        <w:t xml:space="preserve"> </w:t>
      </w:r>
      <w:r w:rsidRPr="00AB1C80">
        <w:rPr>
          <w:rFonts w:cs="Arial"/>
          <w:color w:val="000000" w:themeColor="text1"/>
          <w:szCs w:val="24"/>
        </w:rPr>
        <w:t xml:space="preserve">y </w:t>
      </w:r>
      <w:r w:rsidR="00BB412E" w:rsidRPr="00AB1C80">
        <w:rPr>
          <w:rFonts w:cs="Arial"/>
          <w:color w:val="000000" w:themeColor="text1"/>
          <w:szCs w:val="24"/>
        </w:rPr>
        <w:t>Economía Circular</w:t>
      </w:r>
      <w:r w:rsidRPr="00AB1C80">
        <w:rPr>
          <w:rFonts w:cs="Arial"/>
          <w:color w:val="000000" w:themeColor="text1"/>
          <w:szCs w:val="24"/>
        </w:rPr>
        <w:t>, mediante la revisión de literatura y desarrollo de reuniones con empresas mineras y mesas de trabajo con actores del sector. El presente informe es el resultado de esta etapa.</w:t>
      </w:r>
    </w:p>
    <w:p w14:paraId="0A4AAAC2" w14:textId="77777777" w:rsidR="00113126" w:rsidRPr="00AB1C80" w:rsidRDefault="00113126" w:rsidP="00AB1C80">
      <w:pPr>
        <w:spacing w:line="276" w:lineRule="auto"/>
        <w:rPr>
          <w:rFonts w:cs="Arial"/>
          <w:color w:val="000000" w:themeColor="text1"/>
          <w:szCs w:val="24"/>
        </w:rPr>
      </w:pPr>
    </w:p>
    <w:p w14:paraId="6D85948A" w14:textId="6311D47C" w:rsidR="00113126" w:rsidRPr="00AB1C80" w:rsidRDefault="00113126" w:rsidP="00AB1C80">
      <w:pPr>
        <w:spacing w:line="276" w:lineRule="auto"/>
        <w:rPr>
          <w:rFonts w:cs="Arial"/>
          <w:color w:val="000000" w:themeColor="text1"/>
          <w:szCs w:val="24"/>
        </w:rPr>
      </w:pPr>
      <w:r w:rsidRPr="00AB1C80">
        <w:rPr>
          <w:rFonts w:cs="Arial"/>
          <w:b/>
          <w:bCs/>
          <w:color w:val="000000" w:themeColor="text1"/>
          <w:szCs w:val="24"/>
        </w:rPr>
        <w:t xml:space="preserve">Propuesta de lineamientos y validación: </w:t>
      </w:r>
      <w:r w:rsidR="00DC1919" w:rsidRPr="00AB1C80">
        <w:rPr>
          <w:rFonts w:cs="Arial"/>
          <w:color w:val="000000" w:themeColor="text1"/>
          <w:szCs w:val="24"/>
        </w:rPr>
        <w:t>S</w:t>
      </w:r>
      <w:r w:rsidRPr="00AB1C80">
        <w:rPr>
          <w:rFonts w:cs="Arial"/>
          <w:color w:val="000000" w:themeColor="text1"/>
          <w:szCs w:val="24"/>
        </w:rPr>
        <w:t>e proced</w:t>
      </w:r>
      <w:r w:rsidR="00DC1919" w:rsidRPr="00AB1C80">
        <w:rPr>
          <w:rFonts w:cs="Arial"/>
          <w:color w:val="000000" w:themeColor="text1"/>
          <w:szCs w:val="24"/>
        </w:rPr>
        <w:t xml:space="preserve">erá </w:t>
      </w:r>
      <w:r w:rsidRPr="00AB1C80">
        <w:rPr>
          <w:rFonts w:cs="Arial"/>
          <w:color w:val="000000" w:themeColor="text1"/>
          <w:szCs w:val="24"/>
        </w:rPr>
        <w:t>a elaborar las propuestas de lineamientos para los procesos relacionados con</w:t>
      </w:r>
      <w:r w:rsidR="0093183B" w:rsidRPr="00AB1C80">
        <w:rPr>
          <w:rFonts w:cs="Arial"/>
          <w:color w:val="000000" w:themeColor="text1"/>
          <w:szCs w:val="24"/>
        </w:rPr>
        <w:t xml:space="preserve"> </w:t>
      </w:r>
      <w:r w:rsidR="00BB412E" w:rsidRPr="00AB1C80">
        <w:rPr>
          <w:rFonts w:cs="Arial"/>
          <w:color w:val="000000" w:themeColor="text1"/>
          <w:szCs w:val="24"/>
        </w:rPr>
        <w:t>Gestión y Manejo de Estériles</w:t>
      </w:r>
      <w:r w:rsidR="00D90E5F" w:rsidRPr="00AB1C80">
        <w:rPr>
          <w:rFonts w:cs="Arial"/>
          <w:color w:val="000000" w:themeColor="text1"/>
          <w:szCs w:val="24"/>
        </w:rPr>
        <w:t xml:space="preserve"> </w:t>
      </w:r>
      <w:r w:rsidRPr="00AB1C80">
        <w:rPr>
          <w:rFonts w:cs="Arial"/>
          <w:color w:val="000000" w:themeColor="text1"/>
          <w:szCs w:val="24"/>
        </w:rPr>
        <w:t xml:space="preserve">y </w:t>
      </w:r>
      <w:r w:rsidR="00BB412E" w:rsidRPr="00AB1C80">
        <w:rPr>
          <w:rFonts w:cs="Arial"/>
          <w:color w:val="000000" w:themeColor="text1"/>
          <w:szCs w:val="24"/>
        </w:rPr>
        <w:t>Economía Circular</w:t>
      </w:r>
      <w:r w:rsidRPr="00AB1C80">
        <w:rPr>
          <w:rFonts w:cs="Arial"/>
          <w:color w:val="000000" w:themeColor="text1"/>
          <w:szCs w:val="24"/>
        </w:rPr>
        <w:t xml:space="preserve"> según las buenas prácticas y mejores técnicas disponibles en el sector, que se adapten a los estándares internacionales y características del país. Esto según lo identificado y analizado en la etapa anterior del proyecto.</w:t>
      </w:r>
    </w:p>
    <w:p w14:paraId="38A05796" w14:textId="77777777" w:rsidR="00113126" w:rsidRPr="00AB1C80" w:rsidRDefault="00113126" w:rsidP="00AB1C80">
      <w:pPr>
        <w:spacing w:line="276" w:lineRule="auto"/>
        <w:rPr>
          <w:rFonts w:cs="Arial"/>
          <w:color w:val="000000" w:themeColor="text1"/>
          <w:szCs w:val="24"/>
        </w:rPr>
      </w:pPr>
    </w:p>
    <w:p w14:paraId="7A4CED3B" w14:textId="3E118D69" w:rsidR="00113126" w:rsidRPr="00AB1C80" w:rsidRDefault="00113126" w:rsidP="00AB1C80">
      <w:pPr>
        <w:spacing w:line="276" w:lineRule="auto"/>
        <w:rPr>
          <w:rFonts w:cs="Arial"/>
          <w:color w:val="000000" w:themeColor="text1"/>
          <w:szCs w:val="24"/>
        </w:rPr>
      </w:pPr>
      <w:r w:rsidRPr="00AB1C80">
        <w:rPr>
          <w:rFonts w:cs="Arial"/>
          <w:b/>
          <w:bCs/>
          <w:color w:val="000000" w:themeColor="text1"/>
          <w:szCs w:val="24"/>
        </w:rPr>
        <w:lastRenderedPageBreak/>
        <w:t xml:space="preserve">Socialización y divulgación: </w:t>
      </w:r>
      <w:r w:rsidR="00DC1919" w:rsidRPr="00AB1C80">
        <w:rPr>
          <w:rFonts w:cs="Arial"/>
          <w:color w:val="000000" w:themeColor="text1"/>
          <w:szCs w:val="24"/>
        </w:rPr>
        <w:t>P</w:t>
      </w:r>
      <w:r w:rsidRPr="00AB1C80">
        <w:rPr>
          <w:rFonts w:cs="Arial"/>
          <w:color w:val="000000" w:themeColor="text1"/>
          <w:szCs w:val="24"/>
        </w:rPr>
        <w:t xml:space="preserve">ara la presentación y socialización de los lineamientos se elaborarán dos </w:t>
      </w:r>
      <w:r w:rsidRPr="00AB1C80">
        <w:rPr>
          <w:rFonts w:cs="Arial"/>
          <w:b/>
          <w:color w:val="000000" w:themeColor="text1"/>
          <w:szCs w:val="24"/>
        </w:rPr>
        <w:t>(2)</w:t>
      </w:r>
      <w:r w:rsidRPr="00AB1C80">
        <w:rPr>
          <w:rFonts w:cs="Arial"/>
          <w:color w:val="000000" w:themeColor="text1"/>
          <w:szCs w:val="24"/>
        </w:rPr>
        <w:t xml:space="preserve"> cartillas y dos </w:t>
      </w:r>
      <w:r w:rsidRPr="00AB1C80">
        <w:rPr>
          <w:rFonts w:cs="Arial"/>
          <w:b/>
          <w:color w:val="000000" w:themeColor="text1"/>
          <w:szCs w:val="24"/>
        </w:rPr>
        <w:t>(2)</w:t>
      </w:r>
      <w:r w:rsidRPr="00AB1C80">
        <w:rPr>
          <w:rFonts w:cs="Arial"/>
          <w:color w:val="000000" w:themeColor="text1"/>
          <w:szCs w:val="24"/>
        </w:rPr>
        <w:t xml:space="preserve"> presentaciones de las temáticas de</w:t>
      </w:r>
      <w:r w:rsidR="0093183B" w:rsidRPr="00AB1C80">
        <w:rPr>
          <w:rFonts w:cs="Arial"/>
          <w:color w:val="000000" w:themeColor="text1"/>
          <w:szCs w:val="24"/>
        </w:rPr>
        <w:t xml:space="preserve"> </w:t>
      </w:r>
      <w:r w:rsidR="00BB412E" w:rsidRPr="00AB1C80">
        <w:rPr>
          <w:rFonts w:cs="Arial"/>
          <w:color w:val="000000" w:themeColor="text1"/>
          <w:szCs w:val="24"/>
        </w:rPr>
        <w:t>Gestión y Manejo de Estériles</w:t>
      </w:r>
      <w:r w:rsidR="00D90E5F" w:rsidRPr="00AB1C80">
        <w:rPr>
          <w:rFonts w:cs="Arial"/>
          <w:color w:val="000000" w:themeColor="text1"/>
          <w:szCs w:val="24"/>
        </w:rPr>
        <w:t xml:space="preserve"> </w:t>
      </w:r>
      <w:r w:rsidR="00DC1919" w:rsidRPr="00AB1C80">
        <w:rPr>
          <w:rFonts w:cs="Arial"/>
          <w:color w:val="000000" w:themeColor="text1"/>
          <w:szCs w:val="24"/>
        </w:rPr>
        <w:t xml:space="preserve">y </w:t>
      </w:r>
      <w:r w:rsidR="00BB412E" w:rsidRPr="00AB1C80">
        <w:rPr>
          <w:rFonts w:cs="Arial"/>
          <w:color w:val="000000" w:themeColor="text1"/>
          <w:szCs w:val="24"/>
        </w:rPr>
        <w:t>Economía Circular</w:t>
      </w:r>
      <w:r w:rsidR="00DC1919" w:rsidRPr="00AB1C80">
        <w:rPr>
          <w:rFonts w:cs="Arial"/>
          <w:color w:val="000000" w:themeColor="text1"/>
          <w:szCs w:val="24"/>
        </w:rPr>
        <w:t xml:space="preserve">, los cuales serán presentados y </w:t>
      </w:r>
      <w:r w:rsidRPr="00AB1C80">
        <w:rPr>
          <w:rFonts w:cs="Arial"/>
          <w:color w:val="000000" w:themeColor="text1"/>
          <w:szCs w:val="24"/>
        </w:rPr>
        <w:t>socializa</w:t>
      </w:r>
      <w:r w:rsidR="00DC1919" w:rsidRPr="00AB1C80">
        <w:rPr>
          <w:rFonts w:cs="Arial"/>
          <w:color w:val="000000" w:themeColor="text1"/>
          <w:szCs w:val="24"/>
        </w:rPr>
        <w:t>dos</w:t>
      </w:r>
      <w:r w:rsidRPr="00AB1C80">
        <w:rPr>
          <w:rFonts w:cs="Arial"/>
          <w:color w:val="000000" w:themeColor="text1"/>
          <w:szCs w:val="24"/>
        </w:rPr>
        <w:t xml:space="preserve"> a </w:t>
      </w:r>
      <w:r w:rsidR="00DC1919" w:rsidRPr="00AB1C80">
        <w:rPr>
          <w:rFonts w:cs="Arial"/>
          <w:color w:val="000000" w:themeColor="text1"/>
          <w:szCs w:val="24"/>
        </w:rPr>
        <w:t>los</w:t>
      </w:r>
      <w:r w:rsidRPr="00AB1C80">
        <w:rPr>
          <w:rFonts w:cs="Arial"/>
          <w:color w:val="000000" w:themeColor="text1"/>
          <w:szCs w:val="24"/>
        </w:rPr>
        <w:t xml:space="preserve"> actores inter</w:t>
      </w:r>
      <w:r w:rsidR="00424BD4" w:rsidRPr="00AB1C80">
        <w:rPr>
          <w:rFonts w:cs="Arial"/>
          <w:color w:val="000000" w:themeColor="text1"/>
          <w:szCs w:val="24"/>
        </w:rPr>
        <w:t>e</w:t>
      </w:r>
      <w:r w:rsidRPr="00AB1C80">
        <w:rPr>
          <w:rFonts w:cs="Arial"/>
          <w:color w:val="000000" w:themeColor="text1"/>
          <w:szCs w:val="24"/>
        </w:rPr>
        <w:t>sados.</w:t>
      </w:r>
    </w:p>
    <w:p w14:paraId="7435E52B" w14:textId="77777777" w:rsidR="00113126" w:rsidRPr="00AB1C80" w:rsidRDefault="00113126" w:rsidP="00AB1C80">
      <w:pPr>
        <w:spacing w:line="276" w:lineRule="auto"/>
        <w:rPr>
          <w:rFonts w:cs="Arial"/>
          <w:color w:val="000000" w:themeColor="text1"/>
          <w:szCs w:val="24"/>
        </w:rPr>
      </w:pPr>
    </w:p>
    <w:p w14:paraId="52A5A2D3" w14:textId="730A24C8" w:rsidR="00113126" w:rsidRPr="00AB1C80" w:rsidRDefault="00113126" w:rsidP="00AB1C80">
      <w:pPr>
        <w:spacing w:line="276" w:lineRule="auto"/>
        <w:rPr>
          <w:rFonts w:cs="Arial"/>
          <w:color w:val="000000" w:themeColor="text1"/>
          <w:szCs w:val="24"/>
        </w:rPr>
      </w:pPr>
      <w:r w:rsidRPr="00AB1C80">
        <w:rPr>
          <w:rFonts w:cs="Arial"/>
          <w:color w:val="000000" w:themeColor="text1"/>
          <w:szCs w:val="24"/>
        </w:rPr>
        <w:t xml:space="preserve">En la </w:t>
      </w:r>
      <w:r w:rsidR="00424BD4" w:rsidRPr="00AB1C80">
        <w:rPr>
          <w:rFonts w:cs="Arial"/>
          <w:b/>
          <w:color w:val="000000" w:themeColor="text1"/>
          <w:szCs w:val="24"/>
        </w:rPr>
        <w:fldChar w:fldCharType="begin"/>
      </w:r>
      <w:r w:rsidR="00424BD4" w:rsidRPr="00AB1C80">
        <w:rPr>
          <w:rFonts w:cs="Arial"/>
          <w:b/>
          <w:color w:val="000000" w:themeColor="text1"/>
          <w:szCs w:val="24"/>
        </w:rPr>
        <w:instrText xml:space="preserve"> REF _Ref56552868 \h  \* MERGEFORMAT </w:instrText>
      </w:r>
      <w:r w:rsidR="00424BD4" w:rsidRPr="00AB1C80">
        <w:rPr>
          <w:rFonts w:cs="Arial"/>
          <w:b/>
          <w:color w:val="000000" w:themeColor="text1"/>
          <w:szCs w:val="24"/>
        </w:rPr>
      </w:r>
      <w:r w:rsidR="00424BD4" w:rsidRPr="00AB1C80">
        <w:rPr>
          <w:rFonts w:cs="Arial"/>
          <w:b/>
          <w:color w:val="000000" w:themeColor="text1"/>
          <w:szCs w:val="24"/>
        </w:rPr>
        <w:fldChar w:fldCharType="separate"/>
      </w:r>
      <w:r w:rsidR="00AB1C80" w:rsidRPr="00AB1C80">
        <w:rPr>
          <w:rFonts w:cs="Arial"/>
          <w:b/>
          <w:color w:val="000000" w:themeColor="text1"/>
          <w:szCs w:val="24"/>
        </w:rPr>
        <w:t xml:space="preserve">Tabla </w:t>
      </w:r>
      <w:r w:rsidR="00AB1C80" w:rsidRPr="00AB1C80">
        <w:rPr>
          <w:rFonts w:cs="Arial"/>
          <w:b/>
          <w:noProof/>
          <w:color w:val="000000" w:themeColor="text1"/>
          <w:szCs w:val="24"/>
        </w:rPr>
        <w:t>4</w:t>
      </w:r>
      <w:r w:rsidR="00424BD4" w:rsidRPr="00AB1C80">
        <w:rPr>
          <w:rFonts w:cs="Arial"/>
          <w:b/>
          <w:color w:val="000000" w:themeColor="text1"/>
          <w:szCs w:val="24"/>
        </w:rPr>
        <w:fldChar w:fldCharType="end"/>
      </w:r>
      <w:r w:rsidRPr="00AB1C80">
        <w:rPr>
          <w:rFonts w:cs="Arial"/>
          <w:color w:val="000000" w:themeColor="text1"/>
          <w:szCs w:val="24"/>
        </w:rPr>
        <w:t xml:space="preserve"> se presentan las etapas de desarrollo del proyecto y los respectivos entregables en cada una de estas.</w:t>
      </w:r>
    </w:p>
    <w:p w14:paraId="3B08CDDF" w14:textId="77777777" w:rsidR="002E0D82" w:rsidRPr="00AB1C80" w:rsidRDefault="002E0D82" w:rsidP="00AB1C80">
      <w:pPr>
        <w:spacing w:line="276" w:lineRule="auto"/>
        <w:rPr>
          <w:rFonts w:cs="Arial"/>
          <w:color w:val="000000" w:themeColor="text1"/>
          <w:szCs w:val="24"/>
        </w:rPr>
      </w:pPr>
    </w:p>
    <w:p w14:paraId="1D870B6A" w14:textId="057ED077" w:rsidR="00113126" w:rsidRPr="00AB1C80" w:rsidRDefault="00113126" w:rsidP="00AB1C80">
      <w:pPr>
        <w:pStyle w:val="FigurayTabla"/>
        <w:spacing w:line="276" w:lineRule="auto"/>
        <w:rPr>
          <w:rFonts w:cs="Arial"/>
          <w:lang w:val="es-CO"/>
        </w:rPr>
      </w:pPr>
      <w:bookmarkStart w:id="31" w:name="_Ref56552868"/>
      <w:bookmarkStart w:id="32" w:name="_Toc56450473"/>
      <w:bookmarkStart w:id="33" w:name="_Toc86333009"/>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4</w:t>
      </w:r>
      <w:r w:rsidRPr="00AB1C80">
        <w:rPr>
          <w:rFonts w:cs="Arial"/>
          <w:lang w:val="es-CO"/>
        </w:rPr>
        <w:fldChar w:fldCharType="end"/>
      </w:r>
      <w:bookmarkEnd w:id="31"/>
      <w:r w:rsidR="00F22A30" w:rsidRPr="00AB1C80">
        <w:rPr>
          <w:rFonts w:cs="Arial"/>
          <w:lang w:val="es-CO"/>
        </w:rPr>
        <w:t>.</w:t>
      </w:r>
      <w:r w:rsidRPr="00AB1C80">
        <w:rPr>
          <w:rFonts w:cs="Arial"/>
          <w:lang w:val="es-CO"/>
        </w:rPr>
        <w:t xml:space="preserve"> Etapas del proyecto.</w:t>
      </w:r>
      <w:bookmarkEnd w:id="32"/>
      <w:bookmarkEnd w:id="33"/>
    </w:p>
    <w:tbl>
      <w:tblPr>
        <w:tblStyle w:val="Tablaconcuadrcula"/>
        <w:tblW w:w="0" w:type="auto"/>
        <w:jc w:val="center"/>
        <w:tblLook w:val="04A0" w:firstRow="1" w:lastRow="0" w:firstColumn="1" w:lastColumn="0" w:noHBand="0" w:noVBand="1"/>
      </w:tblPr>
      <w:tblGrid>
        <w:gridCol w:w="1700"/>
        <w:gridCol w:w="4984"/>
      </w:tblGrid>
      <w:tr w:rsidR="00A84705" w:rsidRPr="00AB1C80" w14:paraId="49517DB7" w14:textId="77777777" w:rsidTr="000A59FD">
        <w:trPr>
          <w:trHeight w:val="266"/>
          <w:tblHeader/>
          <w:jc w:val="center"/>
        </w:trPr>
        <w:tc>
          <w:tcPr>
            <w:tcW w:w="1700" w:type="dxa"/>
            <w:shd w:val="clear" w:color="auto" w:fill="1E345C"/>
            <w:vAlign w:val="center"/>
          </w:tcPr>
          <w:p w14:paraId="60CDAB9C" w14:textId="77777777" w:rsidR="00113126" w:rsidRPr="00AB1C80" w:rsidRDefault="00113126"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Etapa del Proyecto</w:t>
            </w:r>
          </w:p>
        </w:tc>
        <w:tc>
          <w:tcPr>
            <w:tcW w:w="4984" w:type="dxa"/>
            <w:shd w:val="clear" w:color="auto" w:fill="1E345C"/>
            <w:vAlign w:val="center"/>
          </w:tcPr>
          <w:p w14:paraId="4D3D7229" w14:textId="77777777" w:rsidR="00113126" w:rsidRPr="00AB1C80" w:rsidRDefault="00113126"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Entregable</w:t>
            </w:r>
          </w:p>
        </w:tc>
      </w:tr>
      <w:tr w:rsidR="00A84705" w:rsidRPr="00AB1C80" w14:paraId="1D02E00D" w14:textId="77777777" w:rsidTr="00424BD4">
        <w:trPr>
          <w:trHeight w:val="302"/>
          <w:jc w:val="center"/>
        </w:trPr>
        <w:tc>
          <w:tcPr>
            <w:tcW w:w="1700" w:type="dxa"/>
            <w:vAlign w:val="center"/>
          </w:tcPr>
          <w:p w14:paraId="5650A1C2" w14:textId="77777777" w:rsidR="00113126" w:rsidRPr="00AB1C80" w:rsidRDefault="00113126" w:rsidP="00AB1C80">
            <w:pPr>
              <w:spacing w:line="276" w:lineRule="auto"/>
              <w:jc w:val="center"/>
              <w:rPr>
                <w:rFonts w:cs="Arial"/>
                <w:b/>
                <w:color w:val="000000" w:themeColor="text1"/>
                <w:sz w:val="18"/>
                <w:szCs w:val="18"/>
              </w:rPr>
            </w:pPr>
            <w:r w:rsidRPr="00AB1C80">
              <w:rPr>
                <w:rFonts w:cs="Arial"/>
                <w:b/>
                <w:color w:val="000000" w:themeColor="text1"/>
                <w:sz w:val="18"/>
                <w:szCs w:val="18"/>
              </w:rPr>
              <w:t>Planeación</w:t>
            </w:r>
          </w:p>
        </w:tc>
        <w:tc>
          <w:tcPr>
            <w:tcW w:w="4984" w:type="dxa"/>
            <w:vAlign w:val="center"/>
          </w:tcPr>
          <w:p w14:paraId="6E5A65DE" w14:textId="77777777" w:rsidR="00113126" w:rsidRPr="00AB1C80" w:rsidRDefault="00113126" w:rsidP="00AB1C80">
            <w:pPr>
              <w:spacing w:line="276" w:lineRule="auto"/>
              <w:rPr>
                <w:rFonts w:cs="Arial"/>
                <w:color w:val="000000" w:themeColor="text1"/>
                <w:sz w:val="18"/>
                <w:szCs w:val="18"/>
              </w:rPr>
            </w:pPr>
            <w:r w:rsidRPr="00AB1C80">
              <w:rPr>
                <w:rFonts w:cs="Arial"/>
                <w:color w:val="000000" w:themeColor="text1"/>
                <w:sz w:val="18"/>
                <w:szCs w:val="18"/>
              </w:rPr>
              <w:t>Documento plan de trabajo</w:t>
            </w:r>
          </w:p>
        </w:tc>
      </w:tr>
      <w:tr w:rsidR="00A84705" w:rsidRPr="00AB1C80" w14:paraId="523D2DDA" w14:textId="77777777" w:rsidTr="00424BD4">
        <w:trPr>
          <w:trHeight w:val="14"/>
          <w:jc w:val="center"/>
        </w:trPr>
        <w:tc>
          <w:tcPr>
            <w:tcW w:w="1700" w:type="dxa"/>
            <w:vAlign w:val="center"/>
          </w:tcPr>
          <w:p w14:paraId="125A0381" w14:textId="77777777" w:rsidR="00113126" w:rsidRPr="00AB1C80" w:rsidRDefault="00113126" w:rsidP="00AB1C80">
            <w:pPr>
              <w:spacing w:line="276" w:lineRule="auto"/>
              <w:jc w:val="center"/>
              <w:rPr>
                <w:rFonts w:cs="Arial"/>
                <w:b/>
                <w:color w:val="000000" w:themeColor="text1"/>
                <w:sz w:val="18"/>
                <w:szCs w:val="18"/>
              </w:rPr>
            </w:pPr>
            <w:r w:rsidRPr="00AB1C80">
              <w:rPr>
                <w:rFonts w:cs="Arial"/>
                <w:b/>
                <w:color w:val="000000" w:themeColor="text1"/>
                <w:sz w:val="18"/>
                <w:szCs w:val="18"/>
              </w:rPr>
              <w:t>Recopilación y análisis de información</w:t>
            </w:r>
          </w:p>
        </w:tc>
        <w:tc>
          <w:tcPr>
            <w:tcW w:w="4984" w:type="dxa"/>
            <w:vAlign w:val="center"/>
          </w:tcPr>
          <w:p w14:paraId="224528DB" w14:textId="337BF541" w:rsidR="00113126" w:rsidRPr="00AB1C80" w:rsidRDefault="00113126" w:rsidP="00AB1C80">
            <w:pPr>
              <w:spacing w:line="276" w:lineRule="auto"/>
              <w:rPr>
                <w:rFonts w:cs="Arial"/>
                <w:color w:val="000000" w:themeColor="text1"/>
                <w:sz w:val="18"/>
                <w:szCs w:val="18"/>
              </w:rPr>
            </w:pPr>
            <w:r w:rsidRPr="00AB1C80">
              <w:rPr>
                <w:rFonts w:cs="Arial"/>
                <w:color w:val="000000" w:themeColor="text1"/>
                <w:sz w:val="18"/>
                <w:szCs w:val="18"/>
              </w:rPr>
              <w:t xml:space="preserve">Informe recopilación de información. (Relación de todas las fuentes de información </w:t>
            </w:r>
            <w:r w:rsidR="00F22A30" w:rsidRPr="00AB1C80">
              <w:rPr>
                <w:rFonts w:cs="Arial"/>
                <w:color w:val="000000" w:themeColor="text1"/>
                <w:sz w:val="18"/>
                <w:szCs w:val="18"/>
              </w:rPr>
              <w:t xml:space="preserve">primaria y </w:t>
            </w:r>
            <w:r w:rsidRPr="00AB1C80">
              <w:rPr>
                <w:rFonts w:cs="Arial"/>
                <w:color w:val="000000" w:themeColor="text1"/>
                <w:sz w:val="18"/>
                <w:szCs w:val="18"/>
              </w:rPr>
              <w:t xml:space="preserve">secundaria, </w:t>
            </w:r>
            <w:r w:rsidR="00F22A30" w:rsidRPr="00AB1C80">
              <w:rPr>
                <w:rFonts w:cs="Arial"/>
                <w:color w:val="000000" w:themeColor="text1"/>
                <w:sz w:val="18"/>
                <w:szCs w:val="18"/>
              </w:rPr>
              <w:t xml:space="preserve">tales como: informes, </w:t>
            </w:r>
            <w:r w:rsidRPr="00AB1C80">
              <w:rPr>
                <w:rFonts w:cs="Arial"/>
                <w:color w:val="000000" w:themeColor="text1"/>
                <w:sz w:val="18"/>
                <w:szCs w:val="18"/>
              </w:rPr>
              <w:t xml:space="preserve">registros </w:t>
            </w:r>
            <w:r w:rsidR="00F22A30" w:rsidRPr="00AB1C80">
              <w:rPr>
                <w:rFonts w:cs="Arial"/>
                <w:color w:val="000000" w:themeColor="text1"/>
                <w:sz w:val="18"/>
                <w:szCs w:val="18"/>
              </w:rPr>
              <w:t xml:space="preserve">y </w:t>
            </w:r>
            <w:r w:rsidRPr="00AB1C80">
              <w:rPr>
                <w:rFonts w:cs="Arial"/>
                <w:color w:val="000000" w:themeColor="text1"/>
                <w:sz w:val="18"/>
                <w:szCs w:val="18"/>
              </w:rPr>
              <w:t>reuniones con empresas mineras y mesas de trabajo con actores</w:t>
            </w:r>
            <w:r w:rsidR="00F22A30" w:rsidRPr="00AB1C80">
              <w:rPr>
                <w:rFonts w:cs="Arial"/>
                <w:color w:val="000000" w:themeColor="text1"/>
                <w:sz w:val="18"/>
                <w:szCs w:val="18"/>
              </w:rPr>
              <w:t xml:space="preserve"> del sector</w:t>
            </w:r>
            <w:r w:rsidRPr="00AB1C80">
              <w:rPr>
                <w:rFonts w:cs="Arial"/>
                <w:color w:val="000000" w:themeColor="text1"/>
                <w:sz w:val="18"/>
                <w:szCs w:val="18"/>
              </w:rPr>
              <w:t>).</w:t>
            </w:r>
          </w:p>
        </w:tc>
      </w:tr>
      <w:tr w:rsidR="00A84705" w:rsidRPr="00AB1C80" w14:paraId="59881B6E" w14:textId="77777777" w:rsidTr="00424BD4">
        <w:trPr>
          <w:trHeight w:val="14"/>
          <w:jc w:val="center"/>
        </w:trPr>
        <w:tc>
          <w:tcPr>
            <w:tcW w:w="1700" w:type="dxa"/>
            <w:vAlign w:val="center"/>
          </w:tcPr>
          <w:p w14:paraId="1014EB4D" w14:textId="77777777" w:rsidR="00113126" w:rsidRPr="00AB1C80" w:rsidRDefault="00113126" w:rsidP="00AB1C80">
            <w:pPr>
              <w:spacing w:line="276" w:lineRule="auto"/>
              <w:jc w:val="center"/>
              <w:rPr>
                <w:rFonts w:cs="Arial"/>
                <w:b/>
                <w:color w:val="000000" w:themeColor="text1"/>
                <w:sz w:val="18"/>
                <w:szCs w:val="18"/>
              </w:rPr>
            </w:pPr>
            <w:r w:rsidRPr="00AB1C80">
              <w:rPr>
                <w:rFonts w:cs="Arial"/>
                <w:b/>
                <w:color w:val="000000" w:themeColor="text1"/>
                <w:sz w:val="18"/>
                <w:szCs w:val="18"/>
              </w:rPr>
              <w:t>Propuesta de lineamientos y validación</w:t>
            </w:r>
          </w:p>
        </w:tc>
        <w:tc>
          <w:tcPr>
            <w:tcW w:w="4984" w:type="dxa"/>
            <w:vAlign w:val="center"/>
          </w:tcPr>
          <w:p w14:paraId="0D939A0E" w14:textId="334C3850" w:rsidR="00113126" w:rsidRPr="00AB1C80" w:rsidRDefault="00113126" w:rsidP="00AB1C80">
            <w:pPr>
              <w:pStyle w:val="Prrafodelista"/>
              <w:numPr>
                <w:ilvl w:val="0"/>
                <w:numId w:val="1"/>
              </w:numPr>
              <w:spacing w:line="276" w:lineRule="auto"/>
              <w:ind w:left="360"/>
              <w:rPr>
                <w:rFonts w:cs="Arial"/>
                <w:color w:val="000000" w:themeColor="text1"/>
                <w:sz w:val="18"/>
                <w:szCs w:val="18"/>
              </w:rPr>
            </w:pPr>
            <w:r w:rsidRPr="00AB1C80">
              <w:rPr>
                <w:rFonts w:cs="Arial"/>
                <w:color w:val="000000" w:themeColor="text1"/>
                <w:sz w:val="18"/>
                <w:szCs w:val="18"/>
              </w:rPr>
              <w:t xml:space="preserve">Documento con la propuesta de lineamientos técnicos de políticas de buenas prácticas para estandarizar procesos de </w:t>
            </w:r>
            <w:r w:rsidR="00BB412E" w:rsidRPr="00AB1C80">
              <w:rPr>
                <w:rFonts w:cs="Arial"/>
                <w:color w:val="000000" w:themeColor="text1"/>
                <w:sz w:val="18"/>
                <w:szCs w:val="18"/>
              </w:rPr>
              <w:t>Gestión y Manejo de Estériles</w:t>
            </w:r>
            <w:r w:rsidRPr="00AB1C80">
              <w:rPr>
                <w:rFonts w:cs="Arial"/>
                <w:color w:val="000000" w:themeColor="text1"/>
                <w:sz w:val="18"/>
                <w:szCs w:val="18"/>
              </w:rPr>
              <w:t>.</w:t>
            </w:r>
          </w:p>
          <w:p w14:paraId="7289BD96" w14:textId="77777777" w:rsidR="00113126" w:rsidRPr="00AB1C80" w:rsidRDefault="00113126" w:rsidP="00AB1C80">
            <w:pPr>
              <w:spacing w:line="276" w:lineRule="auto"/>
              <w:rPr>
                <w:rFonts w:cs="Arial"/>
                <w:color w:val="000000" w:themeColor="text1"/>
                <w:sz w:val="18"/>
                <w:szCs w:val="18"/>
              </w:rPr>
            </w:pPr>
          </w:p>
          <w:p w14:paraId="293B0DAB" w14:textId="77FAFC25" w:rsidR="00113126" w:rsidRPr="00AB1C80" w:rsidRDefault="00113126" w:rsidP="00AB1C80">
            <w:pPr>
              <w:pStyle w:val="Prrafodelista"/>
              <w:numPr>
                <w:ilvl w:val="0"/>
                <w:numId w:val="1"/>
              </w:numPr>
              <w:spacing w:line="276" w:lineRule="auto"/>
              <w:ind w:left="360"/>
              <w:rPr>
                <w:rFonts w:cs="Arial"/>
                <w:color w:val="000000" w:themeColor="text1"/>
                <w:sz w:val="18"/>
                <w:szCs w:val="18"/>
              </w:rPr>
            </w:pPr>
            <w:r w:rsidRPr="00AB1C80">
              <w:rPr>
                <w:rFonts w:cs="Arial"/>
                <w:color w:val="000000" w:themeColor="text1"/>
                <w:sz w:val="18"/>
                <w:szCs w:val="18"/>
              </w:rPr>
              <w:t xml:space="preserve">Documento con la Propuesta de lineamientos técnicos de políticas de buenas prácticas para estandarizar procesos de </w:t>
            </w:r>
            <w:r w:rsidR="00BB412E" w:rsidRPr="00AB1C80">
              <w:rPr>
                <w:rFonts w:cs="Arial"/>
                <w:color w:val="000000" w:themeColor="text1"/>
                <w:sz w:val="18"/>
                <w:szCs w:val="18"/>
              </w:rPr>
              <w:t>Economía Circular</w:t>
            </w:r>
            <w:r w:rsidRPr="00AB1C80">
              <w:rPr>
                <w:rFonts w:cs="Arial"/>
                <w:color w:val="000000" w:themeColor="text1"/>
                <w:sz w:val="18"/>
                <w:szCs w:val="18"/>
              </w:rPr>
              <w:t>.</w:t>
            </w:r>
          </w:p>
        </w:tc>
      </w:tr>
      <w:tr w:rsidR="00A84705" w:rsidRPr="00AB1C80" w14:paraId="77E2959E" w14:textId="77777777" w:rsidTr="00424BD4">
        <w:trPr>
          <w:trHeight w:val="14"/>
          <w:jc w:val="center"/>
        </w:trPr>
        <w:tc>
          <w:tcPr>
            <w:tcW w:w="1700" w:type="dxa"/>
            <w:vAlign w:val="center"/>
          </w:tcPr>
          <w:p w14:paraId="559141A5" w14:textId="77777777" w:rsidR="00113126" w:rsidRPr="00AB1C80" w:rsidRDefault="00113126" w:rsidP="00AB1C80">
            <w:pPr>
              <w:spacing w:line="276" w:lineRule="auto"/>
              <w:jc w:val="center"/>
              <w:rPr>
                <w:rFonts w:cs="Arial"/>
                <w:b/>
                <w:color w:val="000000" w:themeColor="text1"/>
                <w:sz w:val="18"/>
                <w:szCs w:val="18"/>
              </w:rPr>
            </w:pPr>
            <w:r w:rsidRPr="00AB1C80">
              <w:rPr>
                <w:rFonts w:cs="Arial"/>
                <w:b/>
                <w:color w:val="000000" w:themeColor="text1"/>
                <w:sz w:val="18"/>
                <w:szCs w:val="18"/>
              </w:rPr>
              <w:t>Socialización y divulgación</w:t>
            </w:r>
          </w:p>
        </w:tc>
        <w:tc>
          <w:tcPr>
            <w:tcW w:w="4984" w:type="dxa"/>
            <w:vAlign w:val="center"/>
          </w:tcPr>
          <w:p w14:paraId="40904C5B" w14:textId="77777777" w:rsidR="00113126" w:rsidRPr="00AB1C80" w:rsidRDefault="00113126" w:rsidP="00AB1C80">
            <w:pPr>
              <w:pStyle w:val="Prrafodelista"/>
              <w:numPr>
                <w:ilvl w:val="0"/>
                <w:numId w:val="2"/>
              </w:numPr>
              <w:spacing w:line="276" w:lineRule="auto"/>
              <w:rPr>
                <w:rFonts w:cs="Arial"/>
                <w:color w:val="000000" w:themeColor="text1"/>
                <w:sz w:val="18"/>
                <w:szCs w:val="18"/>
              </w:rPr>
            </w:pPr>
            <w:r w:rsidRPr="00AB1C80">
              <w:rPr>
                <w:rFonts w:cs="Arial"/>
                <w:color w:val="000000" w:themeColor="text1"/>
                <w:sz w:val="18"/>
                <w:szCs w:val="18"/>
              </w:rPr>
              <w:t>Cartillas y presentaciones.</w:t>
            </w:r>
          </w:p>
          <w:p w14:paraId="7ACE0ABC" w14:textId="77777777" w:rsidR="00113126" w:rsidRPr="00AB1C80" w:rsidRDefault="00113126" w:rsidP="00AB1C80">
            <w:pPr>
              <w:pStyle w:val="Prrafodelista"/>
              <w:spacing w:line="276" w:lineRule="auto"/>
              <w:ind w:left="360"/>
              <w:rPr>
                <w:rFonts w:cs="Arial"/>
                <w:color w:val="000000" w:themeColor="text1"/>
                <w:sz w:val="18"/>
                <w:szCs w:val="18"/>
              </w:rPr>
            </w:pPr>
          </w:p>
          <w:p w14:paraId="4D7EB9AB" w14:textId="25239991" w:rsidR="00113126" w:rsidRPr="00AB1C80" w:rsidRDefault="00113126" w:rsidP="00AB1C80">
            <w:pPr>
              <w:pStyle w:val="Prrafodelista"/>
              <w:numPr>
                <w:ilvl w:val="0"/>
                <w:numId w:val="2"/>
              </w:numPr>
              <w:spacing w:line="276" w:lineRule="auto"/>
              <w:rPr>
                <w:rFonts w:cs="Arial"/>
                <w:color w:val="000000" w:themeColor="text1"/>
                <w:sz w:val="18"/>
                <w:szCs w:val="18"/>
              </w:rPr>
            </w:pPr>
            <w:r w:rsidRPr="00AB1C80">
              <w:rPr>
                <w:rFonts w:cs="Arial"/>
                <w:color w:val="000000" w:themeColor="text1"/>
                <w:sz w:val="18"/>
                <w:szCs w:val="18"/>
              </w:rPr>
              <w:t>Documento con un informe que contenga las evidencias y</w:t>
            </w:r>
            <w:r w:rsidR="00F22A30" w:rsidRPr="00AB1C80">
              <w:rPr>
                <w:rFonts w:cs="Arial"/>
                <w:color w:val="000000" w:themeColor="text1"/>
                <w:sz w:val="18"/>
                <w:szCs w:val="18"/>
              </w:rPr>
              <w:t xml:space="preserve"> resultados de cada una de las s</w:t>
            </w:r>
            <w:r w:rsidRPr="00AB1C80">
              <w:rPr>
                <w:rFonts w:cs="Arial"/>
                <w:color w:val="000000" w:themeColor="text1"/>
                <w:sz w:val="18"/>
                <w:szCs w:val="18"/>
              </w:rPr>
              <w:t>ocializaciones.</w:t>
            </w:r>
          </w:p>
          <w:p w14:paraId="11A5BA34" w14:textId="77777777" w:rsidR="00113126" w:rsidRPr="00AB1C80" w:rsidRDefault="00113126" w:rsidP="00AB1C80">
            <w:pPr>
              <w:pStyle w:val="Prrafodelista"/>
              <w:spacing w:line="276" w:lineRule="auto"/>
              <w:rPr>
                <w:rFonts w:cs="Arial"/>
                <w:color w:val="000000" w:themeColor="text1"/>
                <w:sz w:val="18"/>
                <w:szCs w:val="18"/>
              </w:rPr>
            </w:pPr>
          </w:p>
          <w:p w14:paraId="1DE511A4" w14:textId="77777777" w:rsidR="00113126" w:rsidRPr="00AB1C80" w:rsidRDefault="00113126" w:rsidP="00AB1C80">
            <w:pPr>
              <w:pStyle w:val="Prrafodelista"/>
              <w:numPr>
                <w:ilvl w:val="0"/>
                <w:numId w:val="2"/>
              </w:numPr>
              <w:spacing w:line="276" w:lineRule="auto"/>
              <w:rPr>
                <w:rFonts w:cs="Arial"/>
                <w:color w:val="000000" w:themeColor="text1"/>
                <w:sz w:val="18"/>
                <w:szCs w:val="18"/>
              </w:rPr>
            </w:pPr>
            <w:r w:rsidRPr="00AB1C80">
              <w:rPr>
                <w:rFonts w:cs="Arial"/>
                <w:color w:val="000000" w:themeColor="text1"/>
                <w:sz w:val="18"/>
                <w:szCs w:val="18"/>
              </w:rPr>
              <w:t>Documento informe final.</w:t>
            </w:r>
          </w:p>
        </w:tc>
      </w:tr>
    </w:tbl>
    <w:p w14:paraId="4A92D4D2" w14:textId="77777777" w:rsidR="00113126" w:rsidRPr="00AB1C80" w:rsidRDefault="00113126" w:rsidP="00AB1C80">
      <w:pPr>
        <w:pStyle w:val="Fuente"/>
        <w:spacing w:line="276" w:lineRule="auto"/>
        <w:rPr>
          <w:rFonts w:cs="Arial"/>
          <w:lang w:val="es-CO"/>
        </w:rPr>
      </w:pPr>
      <w:r w:rsidRPr="00AB1C80">
        <w:rPr>
          <w:rFonts w:cs="Arial"/>
          <w:lang w:val="es-CO"/>
        </w:rPr>
        <w:t>Fuente: ATG Ltda., 2020.</w:t>
      </w:r>
    </w:p>
    <w:p w14:paraId="7DFB5108" w14:textId="7A4CE626" w:rsidR="00053979" w:rsidRPr="00AB1C80" w:rsidRDefault="00053979" w:rsidP="00AB1C80">
      <w:pPr>
        <w:spacing w:line="276" w:lineRule="auto"/>
        <w:rPr>
          <w:rFonts w:cs="Arial"/>
          <w:color w:val="000000" w:themeColor="text1"/>
          <w:szCs w:val="24"/>
        </w:rPr>
      </w:pPr>
    </w:p>
    <w:p w14:paraId="732640E7" w14:textId="77777777" w:rsidR="00053979" w:rsidRPr="00AB1C80" w:rsidRDefault="00053979" w:rsidP="00AB1C80">
      <w:pPr>
        <w:spacing w:line="276" w:lineRule="auto"/>
        <w:jc w:val="left"/>
        <w:rPr>
          <w:rFonts w:cs="Arial"/>
          <w:color w:val="000000" w:themeColor="text1"/>
          <w:szCs w:val="24"/>
        </w:rPr>
      </w:pPr>
      <w:r w:rsidRPr="00AB1C80">
        <w:rPr>
          <w:rFonts w:cs="Arial"/>
          <w:color w:val="000000" w:themeColor="text1"/>
          <w:szCs w:val="24"/>
        </w:rPr>
        <w:br w:type="page"/>
      </w:r>
    </w:p>
    <w:p w14:paraId="2A4B51B1" w14:textId="452BDA51" w:rsidR="00B473FF" w:rsidRPr="00AB1C80" w:rsidRDefault="000C53EC" w:rsidP="00AB1C80">
      <w:pPr>
        <w:pStyle w:val="Ttulo1"/>
        <w:spacing w:line="276" w:lineRule="auto"/>
        <w:rPr>
          <w:rFonts w:cs="Arial"/>
          <w:lang w:val="es-CO"/>
        </w:rPr>
      </w:pPr>
      <w:bookmarkStart w:id="34" w:name="_Toc55305887"/>
      <w:bookmarkStart w:id="35" w:name="_Toc86332916"/>
      <w:bookmarkStart w:id="36" w:name="_Toc56544150"/>
      <w:r w:rsidRPr="00AB1C80">
        <w:rPr>
          <w:rFonts w:cs="Arial"/>
          <w:lang w:val="es-CO"/>
        </w:rPr>
        <w:lastRenderedPageBreak/>
        <w:t>DEFINICIONES SEGÚN ANÁLISIS DOCUMENTAL</w:t>
      </w:r>
      <w:bookmarkEnd w:id="34"/>
      <w:bookmarkEnd w:id="35"/>
    </w:p>
    <w:p w14:paraId="3E632AFF" w14:textId="77777777" w:rsidR="00B473FF" w:rsidRPr="00AB1C80" w:rsidRDefault="00B473FF" w:rsidP="00AB1C80">
      <w:pPr>
        <w:spacing w:line="276" w:lineRule="auto"/>
        <w:rPr>
          <w:rFonts w:cs="Arial"/>
          <w:color w:val="000000" w:themeColor="text1"/>
        </w:rPr>
      </w:pPr>
    </w:p>
    <w:p w14:paraId="30D3B74D" w14:textId="7D753CBE" w:rsidR="00B473FF" w:rsidRPr="00AB1C80" w:rsidRDefault="00B473FF" w:rsidP="00AB1C80">
      <w:pPr>
        <w:pStyle w:val="Ttulo2"/>
        <w:spacing w:line="276" w:lineRule="auto"/>
        <w:rPr>
          <w:rFonts w:cs="Arial"/>
        </w:rPr>
      </w:pPr>
      <w:bookmarkStart w:id="37" w:name="_Toc86332917"/>
      <w:r w:rsidRPr="00AB1C80">
        <w:rPr>
          <w:rFonts w:cs="Arial"/>
        </w:rPr>
        <w:t>Estériles</w:t>
      </w:r>
      <w:bookmarkEnd w:id="37"/>
    </w:p>
    <w:p w14:paraId="15A84980" w14:textId="74186C5E" w:rsidR="00B473FF" w:rsidRPr="00AB1C80" w:rsidRDefault="00B473FF" w:rsidP="00AB1C80">
      <w:pPr>
        <w:spacing w:line="276" w:lineRule="auto"/>
        <w:rPr>
          <w:rFonts w:cs="Arial"/>
          <w:color w:val="000000" w:themeColor="text1"/>
        </w:rPr>
      </w:pPr>
    </w:p>
    <w:p w14:paraId="319409AB" w14:textId="052835E0"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 xml:space="preserve">Descapote: </w:t>
      </w:r>
      <w:r w:rsidRPr="00AB1C80">
        <w:rPr>
          <w:rFonts w:cs="Arial"/>
          <w:color w:val="000000" w:themeColor="text1"/>
          <w:szCs w:val="24"/>
        </w:rPr>
        <w:t>En minería a cielo abierto, etapa en la cual se remueve la capa vegetal, el suelo o el "estéril" (mineral o roca que no representa beneficio económico para la empresa minera) que cubre un yacimiento, para dejar descubierto el mineral de interés económico. Operación que se realiza durante la fase de preparación. El material del descapote debe ser dispuesto adecuadamente para su posterior reutilización en procesos de restauración o recuperación ambiental</w:t>
      </w:r>
      <w:r w:rsidR="0077297D" w:rsidRPr="00AB1C80">
        <w:rPr>
          <w:rStyle w:val="Refdenotaalpie"/>
          <w:rFonts w:cs="Arial"/>
          <w:color w:val="000000" w:themeColor="text1"/>
        </w:rPr>
        <w:footnoteReference w:id="1"/>
      </w:r>
      <w:r w:rsidRPr="00AB1C80">
        <w:rPr>
          <w:rFonts w:cs="Arial"/>
          <w:color w:val="000000" w:themeColor="text1"/>
          <w:szCs w:val="24"/>
        </w:rPr>
        <w:t>.</w:t>
      </w:r>
    </w:p>
    <w:p w14:paraId="1743ABB5"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1A1EF647" w14:textId="7451DF81"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Escombrera:</w:t>
      </w:r>
      <w:r w:rsidRPr="00AB1C80">
        <w:rPr>
          <w:rFonts w:cs="Arial"/>
          <w:color w:val="000000" w:themeColor="text1"/>
          <w:szCs w:val="24"/>
        </w:rPr>
        <w:t xml:space="preserve"> 1. Depósito donde se disponen de manera ordenada los materiales o residuos no aprovechables (estériles) procedentes de las labores de extracción minera. 2. Lugar seleccionado para depositar la capa vegetal, estériles y otros desechos sólidos provenientes de la explotación o el beneficio de los minerales</w:t>
      </w:r>
      <w:r w:rsidR="0077297D" w:rsidRPr="00AB1C80">
        <w:rPr>
          <w:rStyle w:val="Refdenotaalpie"/>
          <w:rFonts w:cs="Arial"/>
          <w:color w:val="000000" w:themeColor="text1"/>
        </w:rPr>
        <w:footnoteReference w:id="2"/>
      </w:r>
      <w:r w:rsidRPr="00AB1C80">
        <w:rPr>
          <w:rFonts w:cs="Arial"/>
          <w:color w:val="000000" w:themeColor="text1"/>
          <w:szCs w:val="24"/>
        </w:rPr>
        <w:t>.</w:t>
      </w:r>
    </w:p>
    <w:p w14:paraId="30DACC20"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54D5A24B" w14:textId="684C0206"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 xml:space="preserve">Escombros (industria minera): </w:t>
      </w:r>
      <w:r w:rsidRPr="00AB1C80">
        <w:rPr>
          <w:rFonts w:cs="Arial"/>
          <w:color w:val="000000" w:themeColor="text1"/>
          <w:szCs w:val="24"/>
        </w:rPr>
        <w:t>1. Material o roca que fueron rotos mediante la voladura. 2. Material de suelo, arena, arcilla o limo, inconsolidados, encontrados como material de recubrimiento en las operaciones de minería a cielo abierto. 3. Material estéril producido en una mina</w:t>
      </w:r>
      <w:r w:rsidR="0077297D" w:rsidRPr="00AB1C80">
        <w:rPr>
          <w:rStyle w:val="Refdenotaalpie"/>
          <w:rFonts w:cs="Arial"/>
          <w:color w:val="000000" w:themeColor="text1"/>
        </w:rPr>
        <w:footnoteReference w:id="3"/>
      </w:r>
      <w:r w:rsidRPr="00AB1C80">
        <w:rPr>
          <w:rFonts w:cs="Arial"/>
          <w:color w:val="000000" w:themeColor="text1"/>
          <w:szCs w:val="24"/>
        </w:rPr>
        <w:t>.</w:t>
      </w:r>
    </w:p>
    <w:p w14:paraId="22BFF9B4"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39DB3BCB" w14:textId="7AAAECDA"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Estéril:</w:t>
      </w:r>
      <w:r w:rsidRPr="00AB1C80">
        <w:rPr>
          <w:rFonts w:cs="Arial"/>
          <w:color w:val="000000" w:themeColor="text1"/>
          <w:szCs w:val="24"/>
        </w:rPr>
        <w:t xml:space="preserve"> 1. Se dice de la roca o del material de vena que prácticamente no contiene minerales de valor recuperables, que acompañan a los minerales de valor y que es necesario remover durante la operación minera para extraer el mineral útil. 2. En carbones, del estrato sin carbón, o que contiene mantos de carbón muy delgados para ser minados. 3. En depósitos minerales lixiviados, se dice de una solución de la cual los minerales de valor disueltos han sido removidos por precipitación, intercambio de iones, o por extracción por solventes. 4. Escombros que se forman cuando se explotan las minas. En las explotaciones mineras se utiliza el mineral aprovechable, pero el resto del material que acompaña al mineral y no es útil (ganga) se deja acumulado cerca de las galerías o explotaciones mineras en forma de derrubios. 5. Material sin valor económico que cubre o es adyacente a un depósito de mineral y que debe ser removido antes de extraer el mineral</w:t>
      </w:r>
      <w:r w:rsidR="0077297D" w:rsidRPr="00AB1C80">
        <w:rPr>
          <w:rStyle w:val="Refdenotaalpie"/>
          <w:rFonts w:cs="Arial"/>
          <w:color w:val="000000" w:themeColor="text1"/>
        </w:rPr>
        <w:footnoteReference w:id="4"/>
      </w:r>
      <w:r w:rsidRPr="00AB1C80">
        <w:rPr>
          <w:rFonts w:cs="Arial"/>
          <w:color w:val="000000" w:themeColor="text1"/>
          <w:szCs w:val="24"/>
        </w:rPr>
        <w:t>.</w:t>
      </w:r>
    </w:p>
    <w:p w14:paraId="2A91A693"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30B02859" w14:textId="77777777"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 xml:space="preserve">Ganga: </w:t>
      </w:r>
      <w:r w:rsidRPr="00AB1C80">
        <w:rPr>
          <w:rFonts w:cs="Arial"/>
          <w:color w:val="000000" w:themeColor="text1"/>
          <w:szCs w:val="24"/>
        </w:rPr>
        <w:t xml:space="preserve">1. Minerales que no presentan interés económico en un yacimiento, aquella parte de una mena que no es económicamente deseable, pero que no puede ser </w:t>
      </w:r>
      <w:r w:rsidRPr="00AB1C80">
        <w:rPr>
          <w:rFonts w:cs="Arial"/>
          <w:color w:val="000000" w:themeColor="text1"/>
          <w:szCs w:val="24"/>
        </w:rPr>
        <w:lastRenderedPageBreak/>
        <w:t>desechada en minería. Ella es separada de los minerales de mena durante los procesos de concentración. Este concepto se opone al de mena. Es el material estéril o inútil que acompaña al mineral que se explota. Generalmente son minerales no metálicos, o bien la roca encajante y muy ocasionalmente pueden ser minerales</w:t>
      </w:r>
    </w:p>
    <w:p w14:paraId="7108BB17" w14:textId="579B592E"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color w:val="000000" w:themeColor="text1"/>
          <w:szCs w:val="24"/>
        </w:rPr>
        <w:t>metálicos. Los minerales de ganga son aquellos que no son beneficiables, pero en algunos casos estos minerales pueden llegar a ser económicamente explotables (al conocerse alguna aplicación nueva para los mismos) y, por lo tanto, dejarían de ser ganga, por ejemplo, el mineral de ganga es galena. 2. La roca de derroche que rodea un depósito de mineral; también la materia de menor concentración en un mineral</w:t>
      </w:r>
      <w:r w:rsidR="0077297D" w:rsidRPr="00AB1C80">
        <w:rPr>
          <w:rStyle w:val="Refdenotaalpie"/>
          <w:rFonts w:cs="Arial"/>
          <w:color w:val="000000" w:themeColor="text1"/>
        </w:rPr>
        <w:footnoteReference w:id="5"/>
      </w:r>
      <w:r w:rsidRPr="00AB1C80">
        <w:rPr>
          <w:rFonts w:cs="Arial"/>
          <w:color w:val="000000" w:themeColor="text1"/>
          <w:szCs w:val="24"/>
        </w:rPr>
        <w:t>.</w:t>
      </w:r>
    </w:p>
    <w:p w14:paraId="1733C53C"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38224C50" w14:textId="43745443"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Material estéril:</w:t>
      </w:r>
      <w:r w:rsidRPr="00AB1C80">
        <w:rPr>
          <w:rFonts w:cs="Arial"/>
          <w:color w:val="000000" w:themeColor="text1"/>
          <w:szCs w:val="24"/>
        </w:rPr>
        <w:t xml:space="preserve"> Se definen así el suelo, los sedimentos y las rocas que cubren el subafloramiento de carbón; en este caso toma el nombre de "estéril de cobertura u overburden". Igual definición tienen las rocas que separan dos mantos de carbón, en este caso toman el nombre de "</w:t>
      </w:r>
      <w:r w:rsidR="00A84705" w:rsidRPr="00AB1C80">
        <w:rPr>
          <w:rFonts w:cs="Arial"/>
          <w:color w:val="000000" w:themeColor="text1"/>
          <w:szCs w:val="24"/>
        </w:rPr>
        <w:t>estéril</w:t>
      </w:r>
      <w:r w:rsidRPr="00AB1C80">
        <w:rPr>
          <w:rFonts w:cs="Arial"/>
          <w:color w:val="000000" w:themeColor="text1"/>
          <w:szCs w:val="24"/>
        </w:rPr>
        <w:t xml:space="preserve"> entremantos o interburden"</w:t>
      </w:r>
      <w:r w:rsidR="0077297D" w:rsidRPr="00AB1C80">
        <w:rPr>
          <w:rStyle w:val="Refdenotaalpie"/>
          <w:rFonts w:cs="Arial"/>
          <w:color w:val="000000" w:themeColor="text1"/>
        </w:rPr>
        <w:footnoteReference w:id="6"/>
      </w:r>
      <w:r w:rsidRPr="00AB1C80">
        <w:rPr>
          <w:rFonts w:cs="Arial"/>
          <w:color w:val="000000" w:themeColor="text1"/>
          <w:szCs w:val="24"/>
        </w:rPr>
        <w:t>.</w:t>
      </w:r>
    </w:p>
    <w:p w14:paraId="16D677C6"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3CBDB12F" w14:textId="5B09D03A" w:rsidR="003E557B" w:rsidRPr="00AB1C80" w:rsidRDefault="003E557B" w:rsidP="00AB1C80">
      <w:pPr>
        <w:autoSpaceDE w:val="0"/>
        <w:autoSpaceDN w:val="0"/>
        <w:adjustRightInd w:val="0"/>
        <w:spacing w:line="276" w:lineRule="auto"/>
        <w:rPr>
          <w:rFonts w:cs="Arial"/>
          <w:color w:val="000000" w:themeColor="text1"/>
          <w:szCs w:val="24"/>
        </w:rPr>
      </w:pPr>
      <w:r w:rsidRPr="00AB1C80">
        <w:rPr>
          <w:rFonts w:cs="Arial"/>
          <w:b/>
          <w:bCs/>
          <w:color w:val="000000" w:themeColor="text1"/>
          <w:szCs w:val="24"/>
        </w:rPr>
        <w:t>Mineral de ganga:</w:t>
      </w:r>
      <w:r w:rsidRPr="00AB1C80">
        <w:rPr>
          <w:rFonts w:cs="Arial"/>
          <w:color w:val="000000" w:themeColor="text1"/>
          <w:szCs w:val="24"/>
        </w:rPr>
        <w:t xml:space="preserve"> 1. Minerales que no presentan interés económico en un yacimiento, aquella parte de una mena que no es económicamente deseable, pero que no puede ser desechada en minería. Ella es separada de los minerales de mena durante los procesos de concentración. Este concepto se opone al de mena. Es el material estéril o inútil que acompaña al mineral que se explota. Generalmente son minerales no metálicos, o bien la roca encajante y muy ocasionalmente pueden ser minerales metálicos. Los minerales de ganga son aquellos que no son beneficiables, pero en algunos casos estos minerales pueden llegar a ser económicamente explotables (al conocerse alguna aplicación nueva para los mismos) y, por lo tanto, dejarían de ser ganga, por ejemplo, el mineral de ganga es galena. 2. La roca de derroche que rodea un depósito de mineral; también la materia de menor concentración en un mineral</w:t>
      </w:r>
      <w:r w:rsidR="0077297D" w:rsidRPr="00AB1C80">
        <w:rPr>
          <w:rStyle w:val="Refdenotaalpie"/>
          <w:rFonts w:cs="Arial"/>
          <w:color w:val="000000" w:themeColor="text1"/>
        </w:rPr>
        <w:footnoteReference w:id="7"/>
      </w:r>
      <w:r w:rsidRPr="00AB1C80">
        <w:rPr>
          <w:rFonts w:cs="Arial"/>
          <w:color w:val="000000" w:themeColor="text1"/>
          <w:szCs w:val="24"/>
        </w:rPr>
        <w:t>.</w:t>
      </w:r>
    </w:p>
    <w:p w14:paraId="54433223" w14:textId="77777777" w:rsidR="003E557B" w:rsidRPr="00AB1C80" w:rsidRDefault="003E557B" w:rsidP="00AB1C80">
      <w:pPr>
        <w:autoSpaceDE w:val="0"/>
        <w:autoSpaceDN w:val="0"/>
        <w:adjustRightInd w:val="0"/>
        <w:spacing w:line="276" w:lineRule="auto"/>
        <w:rPr>
          <w:rFonts w:cs="Arial"/>
          <w:color w:val="000000" w:themeColor="text1"/>
          <w:szCs w:val="24"/>
        </w:rPr>
      </w:pPr>
    </w:p>
    <w:p w14:paraId="3DE2FC5B" w14:textId="126EF885" w:rsidR="00A45E5F" w:rsidRPr="00AB1C80" w:rsidRDefault="003E557B" w:rsidP="00AB1C80">
      <w:pPr>
        <w:spacing w:line="276" w:lineRule="auto"/>
        <w:rPr>
          <w:rFonts w:cs="Arial"/>
          <w:color w:val="000000" w:themeColor="text1"/>
        </w:rPr>
      </w:pPr>
      <w:r w:rsidRPr="00AB1C80">
        <w:rPr>
          <w:rFonts w:cs="Arial"/>
          <w:b/>
          <w:bCs/>
          <w:color w:val="000000" w:themeColor="text1"/>
          <w:szCs w:val="24"/>
        </w:rPr>
        <w:t>Relleno (industria minera):</w:t>
      </w:r>
      <w:r w:rsidRPr="00AB1C80">
        <w:rPr>
          <w:rFonts w:cs="Arial"/>
          <w:color w:val="000000" w:themeColor="text1"/>
          <w:szCs w:val="24"/>
        </w:rPr>
        <w:t xml:space="preserve"> Roca de desecho o estéril utilizado para rellenar el vacío que se forma al extraer un cuerpo mineral</w:t>
      </w:r>
      <w:r w:rsidR="0077297D" w:rsidRPr="00AB1C80">
        <w:rPr>
          <w:rStyle w:val="Refdenotaalpie"/>
          <w:rFonts w:cs="Arial"/>
          <w:color w:val="000000" w:themeColor="text1"/>
        </w:rPr>
        <w:footnoteReference w:id="8"/>
      </w:r>
      <w:r w:rsidRPr="00AB1C80">
        <w:rPr>
          <w:rFonts w:cs="Arial"/>
          <w:color w:val="000000" w:themeColor="text1"/>
          <w:szCs w:val="24"/>
        </w:rPr>
        <w:t>.</w:t>
      </w:r>
    </w:p>
    <w:p w14:paraId="64B2A70F" w14:textId="34BFE7A8" w:rsidR="004834B6" w:rsidRPr="00AB1C80" w:rsidRDefault="004834B6" w:rsidP="00AB1C80">
      <w:pPr>
        <w:spacing w:line="276" w:lineRule="auto"/>
        <w:rPr>
          <w:rFonts w:cs="Arial"/>
          <w:color w:val="000000" w:themeColor="text1"/>
        </w:rPr>
      </w:pPr>
    </w:p>
    <w:p w14:paraId="5009825F" w14:textId="77777777" w:rsidR="003E557B" w:rsidRPr="00AB1C80" w:rsidRDefault="003E557B" w:rsidP="00AB1C80">
      <w:pPr>
        <w:spacing w:line="276" w:lineRule="auto"/>
        <w:jc w:val="left"/>
        <w:rPr>
          <w:rFonts w:cs="Arial"/>
          <w:color w:val="000000" w:themeColor="text1"/>
        </w:rPr>
      </w:pPr>
      <w:r w:rsidRPr="00AB1C80">
        <w:rPr>
          <w:rFonts w:cs="Arial"/>
          <w:color w:val="000000" w:themeColor="text1"/>
        </w:rPr>
        <w:br w:type="page"/>
      </w:r>
    </w:p>
    <w:p w14:paraId="143A98FB" w14:textId="3B57C171" w:rsidR="00B473FF" w:rsidRPr="00AB1C80" w:rsidRDefault="00B473FF" w:rsidP="00AB1C80">
      <w:pPr>
        <w:pStyle w:val="Ttulo2"/>
        <w:spacing w:line="276" w:lineRule="auto"/>
        <w:rPr>
          <w:rFonts w:cs="Arial"/>
        </w:rPr>
      </w:pPr>
      <w:bookmarkStart w:id="38" w:name="_Toc86332918"/>
      <w:r w:rsidRPr="00AB1C80">
        <w:rPr>
          <w:rFonts w:cs="Arial"/>
        </w:rPr>
        <w:lastRenderedPageBreak/>
        <w:t>Economía Circular</w:t>
      </w:r>
      <w:bookmarkEnd w:id="38"/>
    </w:p>
    <w:p w14:paraId="04762EC7" w14:textId="77777777" w:rsidR="004C1860" w:rsidRPr="00AB1C80" w:rsidRDefault="004C1860" w:rsidP="00AB1C80">
      <w:pPr>
        <w:spacing w:line="276" w:lineRule="auto"/>
        <w:rPr>
          <w:rFonts w:cs="Arial"/>
          <w:b/>
          <w:bCs/>
          <w:color w:val="000000" w:themeColor="text1"/>
        </w:rPr>
      </w:pPr>
    </w:p>
    <w:p w14:paraId="28F84975" w14:textId="0C86105B" w:rsidR="00A45E5F" w:rsidRPr="00AB1C80" w:rsidRDefault="00A45E5F" w:rsidP="00AB1C80">
      <w:pPr>
        <w:spacing w:line="276" w:lineRule="auto"/>
        <w:rPr>
          <w:rFonts w:cs="Arial"/>
          <w:b/>
          <w:bCs/>
          <w:color w:val="000000" w:themeColor="text1"/>
        </w:rPr>
      </w:pPr>
      <w:r w:rsidRPr="00AB1C80">
        <w:rPr>
          <w:rFonts w:cs="Arial"/>
          <w:b/>
          <w:bCs/>
          <w:color w:val="000000" w:themeColor="text1"/>
        </w:rPr>
        <w:t>Agotamiento (en términos físicos):</w:t>
      </w:r>
      <w:r w:rsidR="003A6D61" w:rsidRPr="00AB1C80">
        <w:rPr>
          <w:rFonts w:cs="Arial"/>
          <w:b/>
          <w:bCs/>
          <w:color w:val="000000" w:themeColor="text1"/>
        </w:rPr>
        <w:t xml:space="preserve"> </w:t>
      </w:r>
      <w:r w:rsidRPr="00AB1C80">
        <w:rPr>
          <w:rFonts w:cs="Arial"/>
          <w:color w:val="000000" w:themeColor="text1"/>
        </w:rPr>
        <w:t>disminución</w:t>
      </w:r>
      <w:r w:rsidR="00482A58" w:rsidRPr="00AB1C80">
        <w:rPr>
          <w:rFonts w:cs="Arial"/>
          <w:color w:val="000000" w:themeColor="text1"/>
        </w:rPr>
        <w:t xml:space="preserve"> </w:t>
      </w:r>
      <w:r w:rsidRPr="00AB1C80">
        <w:rPr>
          <w:rFonts w:cs="Arial"/>
          <w:color w:val="000000" w:themeColor="text1"/>
        </w:rPr>
        <w:t>del stock de un recurso natural, ocurrida durante un período contable, debido a su extracción por parte de unidades económicas, a un ritmo superior que el de su regeneración</w:t>
      </w:r>
      <w:r w:rsidRPr="00AB1C80">
        <w:rPr>
          <w:rStyle w:val="Refdenotaalpie"/>
          <w:rFonts w:cs="Arial"/>
          <w:color w:val="000000" w:themeColor="text1"/>
        </w:rPr>
        <w:footnoteReference w:id="9"/>
      </w:r>
      <w:r w:rsidRPr="00AB1C80">
        <w:rPr>
          <w:rFonts w:cs="Arial"/>
          <w:color w:val="000000" w:themeColor="text1"/>
        </w:rPr>
        <w:t>.</w:t>
      </w:r>
    </w:p>
    <w:p w14:paraId="17547475" w14:textId="77777777" w:rsidR="00A45E5F" w:rsidRPr="00AB1C80" w:rsidRDefault="00A45E5F" w:rsidP="00AB1C80">
      <w:pPr>
        <w:spacing w:line="276" w:lineRule="auto"/>
        <w:rPr>
          <w:rFonts w:cs="Arial"/>
          <w:b/>
          <w:bCs/>
          <w:color w:val="000000" w:themeColor="text1"/>
        </w:rPr>
      </w:pPr>
    </w:p>
    <w:p w14:paraId="36F37E4E" w14:textId="20C9EE3C" w:rsidR="00A45E5F" w:rsidRPr="00AB1C80" w:rsidRDefault="00A45E5F" w:rsidP="00AB1C80">
      <w:pPr>
        <w:spacing w:line="276" w:lineRule="auto"/>
        <w:rPr>
          <w:rFonts w:cs="Arial"/>
          <w:color w:val="000000" w:themeColor="text1"/>
        </w:rPr>
      </w:pPr>
      <w:r w:rsidRPr="00AB1C80">
        <w:rPr>
          <w:rFonts w:cs="Arial"/>
          <w:b/>
          <w:bCs/>
          <w:color w:val="000000" w:themeColor="text1"/>
        </w:rPr>
        <w:t>Análisis de ciclo de vida:</w:t>
      </w:r>
      <w:r w:rsidRPr="00AB1C80">
        <w:rPr>
          <w:rFonts w:cs="Arial"/>
          <w:color w:val="000000" w:themeColor="text1"/>
        </w:rPr>
        <w:t xml:space="preserve"> el análisis integral de todos los parámetros que causan efectos al ambiente a lo largo de esta cadena o ciclo de vida permite tener información transparente y veraz sobre la calidad ambiental productos y procesos.</w:t>
      </w:r>
      <w:r w:rsidR="004A4150" w:rsidRPr="00AB1C80">
        <w:rPr>
          <w:rFonts w:cs="Arial"/>
          <w:color w:val="000000" w:themeColor="text1"/>
        </w:rPr>
        <w:t xml:space="preserve"> </w:t>
      </w:r>
      <w:r w:rsidRPr="00AB1C80">
        <w:rPr>
          <w:rFonts w:cs="Arial"/>
          <w:color w:val="000000" w:themeColor="text1"/>
        </w:rPr>
        <w:t>El impacto ambiental del producto es la agregación de todos los impactos que ocurren durante todo el ciclo de vida</w:t>
      </w:r>
      <w:r w:rsidRPr="00AB1C80">
        <w:rPr>
          <w:rStyle w:val="Refdenotaalpie"/>
          <w:rFonts w:cs="Arial"/>
          <w:color w:val="000000" w:themeColor="text1"/>
        </w:rPr>
        <w:footnoteReference w:id="10"/>
      </w:r>
      <w:r w:rsidRPr="00AB1C80">
        <w:rPr>
          <w:rFonts w:cs="Arial"/>
          <w:color w:val="000000" w:themeColor="text1"/>
        </w:rPr>
        <w:t>.</w:t>
      </w:r>
    </w:p>
    <w:p w14:paraId="2C9A4FC8" w14:textId="5A34FC18" w:rsidR="00A45E5F" w:rsidRPr="00AB1C80" w:rsidRDefault="00A45E5F" w:rsidP="00AB1C80">
      <w:pPr>
        <w:spacing w:line="276" w:lineRule="auto"/>
        <w:rPr>
          <w:rFonts w:cs="Arial"/>
          <w:color w:val="000000" w:themeColor="text1"/>
        </w:rPr>
      </w:pPr>
    </w:p>
    <w:p w14:paraId="3DB80407" w14:textId="0476B867" w:rsidR="004C1860" w:rsidRPr="00AB1C80" w:rsidRDefault="004C1860" w:rsidP="00AB1C80">
      <w:pPr>
        <w:spacing w:line="276" w:lineRule="auto"/>
        <w:rPr>
          <w:rFonts w:cs="Arial"/>
          <w:color w:val="000000" w:themeColor="text1"/>
        </w:rPr>
      </w:pPr>
      <w:r w:rsidRPr="00AB1C80">
        <w:rPr>
          <w:rFonts w:cs="Arial"/>
          <w:b/>
          <w:bCs/>
          <w:color w:val="000000" w:themeColor="text1"/>
        </w:rPr>
        <w:t>Basura cero:</w:t>
      </w:r>
      <w:r w:rsidR="00715786" w:rsidRPr="00AB1C80">
        <w:rPr>
          <w:rFonts w:cs="Arial"/>
          <w:b/>
          <w:bCs/>
          <w:color w:val="000000" w:themeColor="text1"/>
        </w:rPr>
        <w:t xml:space="preserve"> </w:t>
      </w:r>
      <w:r w:rsidR="00715786" w:rsidRPr="00AB1C80">
        <w:rPr>
          <w:rFonts w:cs="Arial"/>
          <w:color w:val="000000" w:themeColor="text1"/>
        </w:rPr>
        <w:t>iniciativa, modelo o meta de eficiencia en la gestión de residuos cuyo objetivo principal es la reducción de residuos destinados a disposición final en rellenos sanitarios o incineración, que desarrolla su implementación por medio de las estrategias de reducción, reutilización, reciclaje y aprovechamiento. Este modelo implica una combinación de prácticas en los ciudadanos, tales como el reciclaje, la reutilización, la eliminación de materiales tóxicos y el rediseño de productos y envases para poder desarrollar comunidades y empresas sostenibles</w:t>
      </w:r>
      <w:r w:rsidR="00A25153" w:rsidRPr="00AB1C80">
        <w:rPr>
          <w:rStyle w:val="Refdenotaalpie"/>
          <w:rFonts w:cs="Arial"/>
          <w:color w:val="000000" w:themeColor="text1"/>
        </w:rPr>
        <w:footnoteReference w:id="11"/>
      </w:r>
      <w:r w:rsidR="00A25153" w:rsidRPr="00AB1C80">
        <w:rPr>
          <w:rFonts w:cs="Arial"/>
          <w:color w:val="000000" w:themeColor="text1"/>
        </w:rPr>
        <w:t>.</w:t>
      </w:r>
    </w:p>
    <w:p w14:paraId="381DE5E1" w14:textId="77777777" w:rsidR="00610A7B" w:rsidRPr="00AB1C80" w:rsidRDefault="00610A7B" w:rsidP="00AB1C80">
      <w:pPr>
        <w:spacing w:line="276" w:lineRule="auto"/>
        <w:rPr>
          <w:rFonts w:cs="Arial"/>
          <w:color w:val="000000" w:themeColor="text1"/>
        </w:rPr>
      </w:pPr>
    </w:p>
    <w:p w14:paraId="4800F1CB" w14:textId="36D15508" w:rsidR="00A45E5F" w:rsidRPr="00AB1C80" w:rsidRDefault="00A45E5F" w:rsidP="00AB1C80">
      <w:pPr>
        <w:spacing w:line="276" w:lineRule="auto"/>
        <w:rPr>
          <w:rFonts w:cs="Arial"/>
          <w:color w:val="000000" w:themeColor="text1"/>
        </w:rPr>
      </w:pPr>
      <w:r w:rsidRPr="00AB1C80">
        <w:rPr>
          <w:rFonts w:cs="Arial"/>
          <w:b/>
          <w:bCs/>
          <w:color w:val="000000" w:themeColor="text1"/>
        </w:rPr>
        <w:t>Biomasa:</w:t>
      </w:r>
      <w:r w:rsidRPr="00AB1C80">
        <w:rPr>
          <w:rFonts w:cs="Arial"/>
          <w:color w:val="000000" w:themeColor="text1"/>
        </w:rPr>
        <w:t xml:space="preserve"> materia total de los seres que viven en un lugar determinado, expresada en peso por unidad de área o de volumen</w:t>
      </w:r>
      <w:r w:rsidRPr="00AB1C80">
        <w:rPr>
          <w:rStyle w:val="Refdenotaalpie"/>
          <w:rFonts w:cs="Arial"/>
          <w:color w:val="000000" w:themeColor="text1"/>
        </w:rPr>
        <w:footnoteReference w:id="12"/>
      </w:r>
      <w:r w:rsidRPr="00AB1C80">
        <w:rPr>
          <w:rFonts w:cs="Arial"/>
          <w:color w:val="000000" w:themeColor="text1"/>
        </w:rPr>
        <w:t>.</w:t>
      </w:r>
    </w:p>
    <w:p w14:paraId="6748CDCA" w14:textId="77777777" w:rsidR="00A45E5F" w:rsidRPr="00AB1C80" w:rsidRDefault="00A45E5F" w:rsidP="00AB1C80">
      <w:pPr>
        <w:spacing w:line="276" w:lineRule="auto"/>
        <w:rPr>
          <w:rFonts w:cs="Arial"/>
          <w:b/>
          <w:bCs/>
          <w:color w:val="000000" w:themeColor="text1"/>
        </w:rPr>
      </w:pPr>
    </w:p>
    <w:p w14:paraId="6F0B9E70" w14:textId="55F5C586" w:rsidR="00A45E5F" w:rsidRPr="00AB1C80" w:rsidRDefault="00A45E5F" w:rsidP="00AB1C80">
      <w:pPr>
        <w:spacing w:line="276" w:lineRule="auto"/>
        <w:rPr>
          <w:rFonts w:cs="Arial"/>
          <w:color w:val="000000" w:themeColor="text1"/>
        </w:rPr>
      </w:pPr>
      <w:r w:rsidRPr="00AB1C80">
        <w:rPr>
          <w:rFonts w:cs="Arial"/>
          <w:b/>
          <w:bCs/>
          <w:color w:val="000000" w:themeColor="text1"/>
        </w:rPr>
        <w:t>Bioeconomía:</w:t>
      </w:r>
      <w:r w:rsidRPr="00AB1C80">
        <w:rPr>
          <w:rFonts w:cs="Arial"/>
          <w:color w:val="000000" w:themeColor="text1"/>
        </w:rPr>
        <w:t xml:space="preserve"> abarca todos los sectores y sistemas que dependen de los recursos biológicos (animales, plantas, microorganismos</w:t>
      </w:r>
      <w:r w:rsidR="00DF2F0E" w:rsidRPr="00AB1C80">
        <w:rPr>
          <w:rFonts w:cs="Arial"/>
          <w:color w:val="000000" w:themeColor="text1"/>
        </w:rPr>
        <w:t xml:space="preserve"> </w:t>
      </w:r>
      <w:r w:rsidRPr="00AB1C80">
        <w:rPr>
          <w:rFonts w:cs="Arial"/>
          <w:color w:val="000000" w:themeColor="text1"/>
        </w:rPr>
        <w:t>y biomasa derivada, incluidos los residuos orgánicos). Incluye e interrelaciona: ecosistemas terrestres y marinos y los servicios que brindan; todos los sectores de producción primaria que utilizan y producen recursos biológicos (agricultura, silvicultura, pesca y acuicultura); y todos los sectores económicos e industriales que utilizar recursos y procesos biológicos para producir alimentos, productos biológicos, energía y servicios</w:t>
      </w:r>
      <w:r w:rsidRPr="00AB1C80">
        <w:rPr>
          <w:rStyle w:val="Refdenotaalpie"/>
          <w:rFonts w:cs="Arial"/>
          <w:color w:val="000000" w:themeColor="text1"/>
        </w:rPr>
        <w:footnoteReference w:id="13"/>
      </w:r>
      <w:r w:rsidRPr="00AB1C80">
        <w:rPr>
          <w:rFonts w:cs="Arial"/>
          <w:color w:val="000000" w:themeColor="text1"/>
        </w:rPr>
        <w:t>.</w:t>
      </w:r>
    </w:p>
    <w:p w14:paraId="3699A87F" w14:textId="753C92C0" w:rsidR="00A45E5F" w:rsidRPr="00AB1C80" w:rsidRDefault="00A45E5F" w:rsidP="00AB1C80">
      <w:pPr>
        <w:spacing w:line="276" w:lineRule="auto"/>
        <w:rPr>
          <w:rFonts w:cs="Arial"/>
          <w:color w:val="000000" w:themeColor="text1"/>
        </w:rPr>
      </w:pPr>
    </w:p>
    <w:p w14:paraId="602B076B" w14:textId="77777777" w:rsidR="009D00F7" w:rsidRPr="00AB1C80" w:rsidRDefault="009D00F7" w:rsidP="00AB1C80">
      <w:pPr>
        <w:spacing w:line="276" w:lineRule="auto"/>
        <w:rPr>
          <w:rFonts w:cs="Arial"/>
          <w:color w:val="000000" w:themeColor="text1"/>
        </w:rPr>
      </w:pPr>
      <w:r w:rsidRPr="00AB1C80">
        <w:rPr>
          <w:rFonts w:cs="Arial"/>
          <w:b/>
          <w:bCs/>
          <w:color w:val="000000" w:themeColor="text1"/>
        </w:rPr>
        <w:lastRenderedPageBreak/>
        <w:t>Cadena de suministros:</w:t>
      </w:r>
      <w:r w:rsidRPr="00AB1C80">
        <w:rPr>
          <w:rFonts w:cs="Arial"/>
          <w:color w:val="000000" w:themeColor="text1"/>
        </w:rPr>
        <w:t xml:space="preserve"> conjunto de actividades, instalaciones y medios de distribución necesarios para llevar a cabo el proceso de venta de un producto en su totalidad</w:t>
      </w:r>
      <w:r w:rsidRPr="00AB1C80">
        <w:rPr>
          <w:rStyle w:val="Refdenotaalpie"/>
          <w:rFonts w:cs="Arial"/>
          <w:color w:val="000000" w:themeColor="text1"/>
        </w:rPr>
        <w:footnoteReference w:id="14"/>
      </w:r>
      <w:r w:rsidRPr="00AB1C80">
        <w:rPr>
          <w:rFonts w:cs="Arial"/>
          <w:color w:val="000000" w:themeColor="text1"/>
        </w:rPr>
        <w:t>.</w:t>
      </w:r>
    </w:p>
    <w:p w14:paraId="2FD6D80C" w14:textId="77777777" w:rsidR="009D00F7" w:rsidRPr="00AB1C80" w:rsidRDefault="009D00F7" w:rsidP="00AB1C80">
      <w:pPr>
        <w:spacing w:line="276" w:lineRule="auto"/>
        <w:rPr>
          <w:rFonts w:cs="Arial"/>
          <w:color w:val="000000" w:themeColor="text1"/>
        </w:rPr>
      </w:pPr>
    </w:p>
    <w:p w14:paraId="450F9D6A" w14:textId="1A2DC948" w:rsidR="00A45E5F" w:rsidRPr="00AB1C80" w:rsidRDefault="00A45E5F" w:rsidP="00AB1C80">
      <w:pPr>
        <w:spacing w:line="276" w:lineRule="auto"/>
        <w:rPr>
          <w:rFonts w:cs="Arial"/>
          <w:color w:val="000000" w:themeColor="text1"/>
        </w:rPr>
      </w:pPr>
      <w:r w:rsidRPr="00AB1C80">
        <w:rPr>
          <w:rFonts w:cs="Arial"/>
          <w:b/>
          <w:bCs/>
          <w:color w:val="000000" w:themeColor="text1"/>
        </w:rPr>
        <w:t>Cadena productiva:</w:t>
      </w:r>
      <w:r w:rsidRPr="00AB1C80">
        <w:rPr>
          <w:rFonts w:cs="Arial"/>
          <w:color w:val="000000" w:themeColor="text1"/>
        </w:rPr>
        <w:t xml:space="preserve"> un conjunto estructurado de procesos elaborados por diversas empresas que tiene en común un mismo mercado</w:t>
      </w:r>
      <w:r w:rsidRPr="00AB1C80">
        <w:rPr>
          <w:rStyle w:val="Refdenotaalpie"/>
          <w:rFonts w:cs="Arial"/>
          <w:color w:val="000000" w:themeColor="text1"/>
        </w:rPr>
        <w:footnoteReference w:id="15"/>
      </w:r>
      <w:r w:rsidRPr="00AB1C80">
        <w:rPr>
          <w:rFonts w:cs="Arial"/>
          <w:color w:val="000000" w:themeColor="text1"/>
        </w:rPr>
        <w:t>.</w:t>
      </w:r>
    </w:p>
    <w:p w14:paraId="5BD77A7C" w14:textId="77777777" w:rsidR="004834B6" w:rsidRPr="00AB1C80" w:rsidRDefault="004834B6" w:rsidP="00AB1C80">
      <w:pPr>
        <w:spacing w:line="276" w:lineRule="auto"/>
        <w:rPr>
          <w:rFonts w:cs="Arial"/>
          <w:color w:val="000000" w:themeColor="text1"/>
        </w:rPr>
      </w:pPr>
      <w:r w:rsidRPr="00AB1C80">
        <w:rPr>
          <w:rFonts w:cs="Arial"/>
          <w:b/>
          <w:bCs/>
          <w:color w:val="000000" w:themeColor="text1"/>
        </w:rPr>
        <w:t>Cambio climático:</w:t>
      </w:r>
      <w:r w:rsidRPr="00AB1C80">
        <w:rPr>
          <w:rFonts w:cs="Arial"/>
          <w:color w:val="000000" w:themeColor="text1"/>
        </w:rPr>
        <w:t xml:space="preserve"> cambio de clima atribuido directa o indirectamente a la actividad humana que altera la composición de la atmósfera mundial</w:t>
      </w:r>
      <w:r w:rsidRPr="00AB1C80">
        <w:rPr>
          <w:rStyle w:val="Refdenotaalpie"/>
          <w:rFonts w:cs="Arial"/>
          <w:color w:val="000000" w:themeColor="text1"/>
        </w:rPr>
        <w:footnoteReference w:id="16"/>
      </w:r>
      <w:r w:rsidRPr="00AB1C80">
        <w:rPr>
          <w:rFonts w:cs="Arial"/>
          <w:color w:val="000000" w:themeColor="text1"/>
        </w:rPr>
        <w:t>.</w:t>
      </w:r>
    </w:p>
    <w:p w14:paraId="4A312EA6" w14:textId="77777777" w:rsidR="004834B6" w:rsidRPr="00AB1C80" w:rsidRDefault="004834B6" w:rsidP="00AB1C80">
      <w:pPr>
        <w:spacing w:line="276" w:lineRule="auto"/>
        <w:rPr>
          <w:rFonts w:cs="Arial"/>
          <w:color w:val="000000" w:themeColor="text1"/>
        </w:rPr>
      </w:pPr>
    </w:p>
    <w:p w14:paraId="0316C1C1" w14:textId="705F8536" w:rsidR="00A45E5F" w:rsidRPr="00AB1C80" w:rsidRDefault="00A45E5F" w:rsidP="00AB1C80">
      <w:pPr>
        <w:spacing w:line="276" w:lineRule="auto"/>
        <w:rPr>
          <w:rFonts w:cs="Arial"/>
          <w:color w:val="000000" w:themeColor="text1"/>
        </w:rPr>
      </w:pPr>
      <w:r w:rsidRPr="00AB1C80">
        <w:rPr>
          <w:rFonts w:cs="Arial"/>
          <w:b/>
          <w:bCs/>
          <w:color w:val="000000" w:themeColor="text1"/>
        </w:rPr>
        <w:t>Chatarra:</w:t>
      </w:r>
      <w:r w:rsidRPr="00AB1C80">
        <w:rPr>
          <w:rFonts w:cs="Arial"/>
          <w:color w:val="000000" w:themeColor="text1"/>
        </w:rPr>
        <w:t xml:space="preserve"> es el conjunto de residuos de trozos de metal que se obtiene principalmente de la recuperación de vehículos, la demolición de edificios y de los recicladores del país</w:t>
      </w:r>
      <w:r w:rsidRPr="00AB1C80">
        <w:rPr>
          <w:rStyle w:val="Refdenotaalpie"/>
          <w:rFonts w:cs="Arial"/>
          <w:color w:val="000000" w:themeColor="text1"/>
        </w:rPr>
        <w:footnoteReference w:id="17"/>
      </w:r>
      <w:r w:rsidRPr="00AB1C80">
        <w:rPr>
          <w:rFonts w:cs="Arial"/>
          <w:color w:val="000000" w:themeColor="text1"/>
        </w:rPr>
        <w:t>.</w:t>
      </w:r>
    </w:p>
    <w:p w14:paraId="1B864B86" w14:textId="77777777" w:rsidR="00AF093C" w:rsidRPr="00AB1C80" w:rsidRDefault="00AF093C" w:rsidP="00AB1C80">
      <w:pPr>
        <w:spacing w:line="276" w:lineRule="auto"/>
        <w:rPr>
          <w:rFonts w:cs="Arial"/>
          <w:color w:val="000000" w:themeColor="text1"/>
        </w:rPr>
      </w:pPr>
    </w:p>
    <w:p w14:paraId="5F9B5A00" w14:textId="439DEE08" w:rsidR="00A45E5F" w:rsidRPr="00AB1C80" w:rsidRDefault="00A45E5F" w:rsidP="00AB1C80">
      <w:pPr>
        <w:spacing w:line="276" w:lineRule="auto"/>
        <w:rPr>
          <w:rFonts w:cs="Arial"/>
          <w:color w:val="000000" w:themeColor="text1"/>
        </w:rPr>
      </w:pPr>
      <w:r w:rsidRPr="00AB1C80">
        <w:rPr>
          <w:rFonts w:cs="Arial"/>
          <w:b/>
          <w:bCs/>
          <w:color w:val="000000" w:themeColor="text1"/>
        </w:rPr>
        <w:t>Cierre de ciclo:</w:t>
      </w:r>
      <w:r w:rsidRPr="00AB1C80">
        <w:rPr>
          <w:rFonts w:cs="Arial"/>
          <w:color w:val="000000" w:themeColor="text1"/>
        </w:rPr>
        <w:t xml:space="preserve"> flujos de materiales que incluye el aprovechamiento de residuos de manera que evitan la extracción de nuevas materias primas</w:t>
      </w:r>
      <w:r w:rsidRPr="00AB1C80">
        <w:rPr>
          <w:rStyle w:val="Refdenotaalpie"/>
          <w:rFonts w:cs="Arial"/>
          <w:color w:val="000000" w:themeColor="text1"/>
        </w:rPr>
        <w:footnoteReference w:id="18"/>
      </w:r>
      <w:r w:rsidRPr="00AB1C80">
        <w:rPr>
          <w:rFonts w:cs="Arial"/>
          <w:color w:val="000000" w:themeColor="text1"/>
        </w:rPr>
        <w:t>.</w:t>
      </w:r>
    </w:p>
    <w:p w14:paraId="016A1778" w14:textId="3A784FE8" w:rsidR="001E78E4" w:rsidRPr="00AB1C80" w:rsidRDefault="001E78E4" w:rsidP="00AB1C80">
      <w:pPr>
        <w:spacing w:line="276" w:lineRule="auto"/>
        <w:rPr>
          <w:rFonts w:cs="Arial"/>
          <w:color w:val="000000" w:themeColor="text1"/>
        </w:rPr>
      </w:pPr>
    </w:p>
    <w:p w14:paraId="349E52D8" w14:textId="639EF996" w:rsidR="003A4055" w:rsidRPr="00AB1C80" w:rsidRDefault="003A4055" w:rsidP="00AB1C80">
      <w:pPr>
        <w:spacing w:line="276" w:lineRule="auto"/>
        <w:rPr>
          <w:rFonts w:cs="Arial"/>
          <w:color w:val="000000" w:themeColor="text1"/>
        </w:rPr>
      </w:pPr>
      <w:r w:rsidRPr="00AB1C80">
        <w:rPr>
          <w:rFonts w:cs="Arial"/>
          <w:b/>
          <w:bCs/>
          <w:color w:val="000000" w:themeColor="text1"/>
        </w:rPr>
        <w:t xml:space="preserve">Economía </w:t>
      </w:r>
      <w:r w:rsidR="00E45A26" w:rsidRPr="00AB1C80">
        <w:rPr>
          <w:rFonts w:cs="Arial"/>
          <w:b/>
          <w:bCs/>
          <w:color w:val="000000" w:themeColor="text1"/>
        </w:rPr>
        <w:t>C</w:t>
      </w:r>
      <w:r w:rsidRPr="00AB1C80">
        <w:rPr>
          <w:rFonts w:cs="Arial"/>
          <w:b/>
          <w:bCs/>
          <w:color w:val="000000" w:themeColor="text1"/>
        </w:rPr>
        <w:t>ircular:</w:t>
      </w:r>
      <w:r w:rsidRPr="00AB1C80">
        <w:rPr>
          <w:rFonts w:cs="Arial"/>
          <w:color w:val="000000" w:themeColor="text1"/>
        </w:rPr>
        <w:t xml:space="preserve"> sistemas de</w:t>
      </w:r>
      <w:r w:rsidR="00291366" w:rsidRPr="00AB1C80">
        <w:rPr>
          <w:rFonts w:cs="Arial"/>
          <w:color w:val="000000" w:themeColor="text1"/>
        </w:rPr>
        <w:t xml:space="preserve"> </w:t>
      </w:r>
      <w:r w:rsidRPr="00AB1C80">
        <w:rPr>
          <w:rFonts w:cs="Arial"/>
          <w:color w:val="000000" w:themeColor="text1"/>
        </w:rPr>
        <w:t xml:space="preserve">producción y consumo que promuevan la eficiencia en el uso de materiales, agua y la energía, teniendo en cuenta la capacidad de recuperación de los ecosistemas, el uso circular de los flujos de materiales </w:t>
      </w:r>
      <w:r w:rsidR="00325D8C" w:rsidRPr="00AB1C80">
        <w:rPr>
          <w:rFonts w:cs="Arial"/>
          <w:color w:val="000000" w:themeColor="text1"/>
        </w:rPr>
        <w:t xml:space="preserve">y la extensión de la vida útil </w:t>
      </w:r>
      <w:r w:rsidRPr="00AB1C80">
        <w:rPr>
          <w:rFonts w:cs="Arial"/>
          <w:color w:val="000000" w:themeColor="text1"/>
        </w:rPr>
        <w:t xml:space="preserve">a través </w:t>
      </w:r>
      <w:r w:rsidR="00325D8C" w:rsidRPr="00AB1C80">
        <w:rPr>
          <w:rFonts w:cs="Arial"/>
          <w:color w:val="000000" w:themeColor="text1"/>
        </w:rPr>
        <w:t xml:space="preserve">de </w:t>
      </w:r>
      <w:r w:rsidRPr="00AB1C80">
        <w:rPr>
          <w:rFonts w:cs="Arial"/>
          <w:color w:val="000000" w:themeColor="text1"/>
        </w:rPr>
        <w:t>la implementación de la innovación tecnológica, alianzas y colaboraciones entre actores, y el impulso de modelos de negocio que responden a los fundamentos del desarrollo sostenible</w:t>
      </w:r>
      <w:r w:rsidR="00325D8C" w:rsidRPr="00AB1C80">
        <w:rPr>
          <w:rStyle w:val="Refdenotaalpie"/>
          <w:rFonts w:cs="Arial"/>
          <w:color w:val="000000" w:themeColor="text1"/>
        </w:rPr>
        <w:footnoteReference w:id="19"/>
      </w:r>
      <w:r w:rsidR="00325D8C" w:rsidRPr="00AB1C80">
        <w:rPr>
          <w:rFonts w:cs="Arial"/>
          <w:color w:val="000000" w:themeColor="text1"/>
        </w:rPr>
        <w:t>.</w:t>
      </w:r>
    </w:p>
    <w:p w14:paraId="5AE9AA8F" w14:textId="7AE34F42" w:rsidR="003A4055" w:rsidRPr="00AB1C80" w:rsidRDefault="003A4055" w:rsidP="00AB1C80">
      <w:pPr>
        <w:spacing w:line="276" w:lineRule="auto"/>
        <w:rPr>
          <w:rFonts w:cs="Arial"/>
          <w:color w:val="000000" w:themeColor="text1"/>
        </w:rPr>
      </w:pPr>
    </w:p>
    <w:p w14:paraId="69FEFAF6" w14:textId="128C5B13" w:rsidR="00560AE4" w:rsidRPr="00AB1C80" w:rsidRDefault="00903F48" w:rsidP="00AB1C80">
      <w:pPr>
        <w:spacing w:line="276" w:lineRule="auto"/>
        <w:rPr>
          <w:rFonts w:cs="Arial"/>
          <w:color w:val="000000" w:themeColor="text1"/>
        </w:rPr>
      </w:pPr>
      <w:r w:rsidRPr="00AB1C80">
        <w:rPr>
          <w:rFonts w:cs="Arial"/>
          <w:b/>
          <w:bCs/>
          <w:color w:val="000000" w:themeColor="text1"/>
        </w:rPr>
        <w:t>Economía Circular</w:t>
      </w:r>
      <w:r w:rsidR="00B35A44" w:rsidRPr="00AB1C80">
        <w:rPr>
          <w:rFonts w:cs="Arial"/>
          <w:b/>
          <w:bCs/>
          <w:color w:val="000000" w:themeColor="text1"/>
        </w:rPr>
        <w:t xml:space="preserve">: </w:t>
      </w:r>
      <w:r w:rsidRPr="00AB1C80">
        <w:rPr>
          <w:rFonts w:cs="Arial"/>
          <w:color w:val="000000" w:themeColor="text1"/>
        </w:rPr>
        <w:t>es un sistema de producción y consumo que promueve la eficiencia en el uso de materiales, agua y energía; teniendo en cuenta la capacidad de recuperación de los ecosistemas y el uso circular de los flujos de materiales a través de la implementación de innovaciones tecnológicas, alianzas y colaboraciones entre actores, y el impulso de modelos de negocio que respondan a los fundamentos del desarrollo sostenibl</w:t>
      </w:r>
      <w:r w:rsidR="00B35A44" w:rsidRPr="00AB1C80">
        <w:rPr>
          <w:rFonts w:cs="Arial"/>
          <w:color w:val="000000" w:themeColor="text1"/>
        </w:rPr>
        <w:t>e</w:t>
      </w:r>
      <w:r w:rsidR="00441708" w:rsidRPr="00AB1C80">
        <w:rPr>
          <w:rStyle w:val="Refdenotaalpie"/>
          <w:rFonts w:cs="Arial"/>
          <w:color w:val="000000" w:themeColor="text1"/>
        </w:rPr>
        <w:footnoteReference w:id="20"/>
      </w:r>
      <w:r w:rsidR="00441708" w:rsidRPr="00AB1C80">
        <w:rPr>
          <w:rFonts w:cs="Arial"/>
          <w:color w:val="000000" w:themeColor="text1"/>
        </w:rPr>
        <w:t>.</w:t>
      </w:r>
    </w:p>
    <w:p w14:paraId="791AF519" w14:textId="77777777" w:rsidR="00B35A44" w:rsidRPr="00AB1C80" w:rsidRDefault="00B35A44" w:rsidP="00AB1C80">
      <w:pPr>
        <w:spacing w:line="276" w:lineRule="auto"/>
        <w:rPr>
          <w:rFonts w:cs="Arial"/>
          <w:color w:val="000000" w:themeColor="text1"/>
        </w:rPr>
      </w:pPr>
    </w:p>
    <w:p w14:paraId="1A39BBA4" w14:textId="77777777" w:rsidR="00B35A44" w:rsidRPr="00AB1C80" w:rsidRDefault="00B35A44" w:rsidP="00AB1C80">
      <w:pPr>
        <w:spacing w:line="276" w:lineRule="auto"/>
        <w:rPr>
          <w:rFonts w:cs="Arial"/>
          <w:color w:val="000000" w:themeColor="text1"/>
        </w:rPr>
      </w:pPr>
      <w:r w:rsidRPr="00AB1C80">
        <w:rPr>
          <w:rFonts w:cs="Arial"/>
          <w:b/>
          <w:bCs/>
          <w:color w:val="000000" w:themeColor="text1"/>
        </w:rPr>
        <w:lastRenderedPageBreak/>
        <w:t>Encadenamientos productivos (sinergias):</w:t>
      </w:r>
      <w:r w:rsidRPr="00AB1C80">
        <w:rPr>
          <w:rFonts w:cs="Arial"/>
          <w:color w:val="000000" w:themeColor="text1"/>
        </w:rPr>
        <w:t xml:space="preserve"> conjunto de actores económicos asociados a la cadena de valor de un producto, que interactúan entre sí para obtener beneficios en conjunto y aumentar sus niveles de competitividad</w:t>
      </w:r>
      <w:r w:rsidRPr="00AB1C80">
        <w:rPr>
          <w:rStyle w:val="Refdenotaalpie"/>
          <w:rFonts w:cs="Arial"/>
          <w:color w:val="000000" w:themeColor="text1"/>
        </w:rPr>
        <w:footnoteReference w:id="21"/>
      </w:r>
      <w:r w:rsidRPr="00AB1C80">
        <w:rPr>
          <w:rFonts w:cs="Arial"/>
          <w:color w:val="000000" w:themeColor="text1"/>
        </w:rPr>
        <w:t>.</w:t>
      </w:r>
    </w:p>
    <w:p w14:paraId="33E04A49" w14:textId="77777777" w:rsidR="00B35A44" w:rsidRPr="00AB1C80" w:rsidRDefault="00B35A44" w:rsidP="00AB1C80">
      <w:pPr>
        <w:spacing w:line="276" w:lineRule="auto"/>
        <w:rPr>
          <w:rFonts w:cs="Arial"/>
          <w:color w:val="000000" w:themeColor="text1"/>
        </w:rPr>
      </w:pPr>
    </w:p>
    <w:p w14:paraId="42CD6900" w14:textId="480FBDBE" w:rsidR="00E41E12" w:rsidRPr="00AB1C80" w:rsidRDefault="00E41E12" w:rsidP="00AB1C80">
      <w:pPr>
        <w:spacing w:line="276" w:lineRule="auto"/>
        <w:rPr>
          <w:rFonts w:cs="Arial"/>
          <w:color w:val="000000" w:themeColor="text1"/>
        </w:rPr>
      </w:pPr>
      <w:r w:rsidRPr="00AB1C80">
        <w:rPr>
          <w:rFonts w:cs="Arial"/>
          <w:b/>
          <w:bCs/>
          <w:color w:val="000000" w:themeColor="text1"/>
        </w:rPr>
        <w:t>Escombros:</w:t>
      </w:r>
      <w:r w:rsidRPr="00AB1C80">
        <w:rPr>
          <w:rFonts w:cs="Arial"/>
          <w:color w:val="000000" w:themeColor="text1"/>
        </w:rPr>
        <w:t xml:space="preserve"> término</w:t>
      </w:r>
      <w:r w:rsidR="00DF2F0E" w:rsidRPr="00AB1C80">
        <w:rPr>
          <w:rFonts w:cs="Arial"/>
          <w:color w:val="000000" w:themeColor="text1"/>
        </w:rPr>
        <w:t xml:space="preserve"> </w:t>
      </w:r>
      <w:r w:rsidRPr="00AB1C80">
        <w:rPr>
          <w:rFonts w:cs="Arial"/>
          <w:color w:val="000000" w:themeColor="text1"/>
        </w:rPr>
        <w:t>coloquial que hace referencia a fragmentos o restos de material que provienen de las labores de construcción, remodelación, mantenimiento o demolición de estructuras</w:t>
      </w:r>
      <w:r w:rsidRPr="00AB1C80">
        <w:rPr>
          <w:rStyle w:val="Refdenotaalpie"/>
          <w:rFonts w:cs="Arial"/>
          <w:color w:val="000000" w:themeColor="text1"/>
        </w:rPr>
        <w:footnoteReference w:id="22"/>
      </w:r>
      <w:r w:rsidRPr="00AB1C80">
        <w:rPr>
          <w:rFonts w:cs="Arial"/>
          <w:color w:val="000000" w:themeColor="text1"/>
          <w:sz w:val="23"/>
          <w:szCs w:val="23"/>
        </w:rPr>
        <w:t xml:space="preserve">. </w:t>
      </w:r>
    </w:p>
    <w:p w14:paraId="549F29FF" w14:textId="77777777" w:rsidR="00B35A44" w:rsidRPr="00AB1C80" w:rsidRDefault="00B35A44" w:rsidP="00AB1C80">
      <w:pPr>
        <w:spacing w:line="276" w:lineRule="auto"/>
        <w:rPr>
          <w:rFonts w:cs="Arial"/>
          <w:color w:val="000000" w:themeColor="text1"/>
        </w:rPr>
      </w:pPr>
    </w:p>
    <w:p w14:paraId="6DEC860A" w14:textId="6F92BE05" w:rsidR="004834B6" w:rsidRPr="00AB1C80" w:rsidRDefault="004834B6" w:rsidP="00AB1C80">
      <w:pPr>
        <w:spacing w:line="276" w:lineRule="auto"/>
        <w:rPr>
          <w:rFonts w:cs="Arial"/>
          <w:color w:val="000000" w:themeColor="text1"/>
        </w:rPr>
      </w:pPr>
      <w:r w:rsidRPr="00AB1C80">
        <w:rPr>
          <w:rFonts w:cs="Arial"/>
          <w:b/>
          <w:bCs/>
          <w:color w:val="000000" w:themeColor="text1"/>
        </w:rPr>
        <w:t>Extracción:</w:t>
      </w:r>
      <w:r w:rsidRPr="00AB1C80">
        <w:rPr>
          <w:rFonts w:cs="Arial"/>
          <w:color w:val="000000" w:themeColor="text1"/>
        </w:rPr>
        <w:t xml:space="preserve"> reducción del stock de un activo ambiental debido a su extracción física o cosecha en un proceso de producción. Actividad de extraer y tomar los elementos naturales de la tierra (vivos e inertes), con el fin de beneficiarse de ellos a través de su uso directo o como insumos para el desarrollo de actividades o elaboración de productos</w:t>
      </w:r>
      <w:r w:rsidRPr="00AB1C80">
        <w:rPr>
          <w:rStyle w:val="Refdenotaalpie"/>
          <w:rFonts w:cs="Arial"/>
          <w:color w:val="000000" w:themeColor="text1"/>
        </w:rPr>
        <w:footnoteReference w:id="23"/>
      </w:r>
      <w:r w:rsidRPr="00AB1C80">
        <w:rPr>
          <w:rFonts w:cs="Arial"/>
          <w:color w:val="000000" w:themeColor="text1"/>
        </w:rPr>
        <w:t>.</w:t>
      </w:r>
    </w:p>
    <w:p w14:paraId="588336DD" w14:textId="77777777" w:rsidR="004834B6" w:rsidRPr="00AB1C80" w:rsidRDefault="004834B6" w:rsidP="00AB1C80">
      <w:pPr>
        <w:spacing w:line="276" w:lineRule="auto"/>
        <w:rPr>
          <w:rFonts w:cs="Arial"/>
          <w:b/>
          <w:bCs/>
          <w:color w:val="000000" w:themeColor="text1"/>
        </w:rPr>
      </w:pPr>
    </w:p>
    <w:p w14:paraId="7D6483EB" w14:textId="5E5827E1" w:rsidR="00903F48" w:rsidRPr="00AB1C80" w:rsidRDefault="00B235F6" w:rsidP="00AB1C80">
      <w:pPr>
        <w:spacing w:line="276" w:lineRule="auto"/>
        <w:rPr>
          <w:rFonts w:cs="Arial"/>
          <w:color w:val="000000" w:themeColor="text1"/>
        </w:rPr>
      </w:pPr>
      <w:r w:rsidRPr="00AB1C80">
        <w:rPr>
          <w:rFonts w:cs="Arial"/>
          <w:b/>
          <w:bCs/>
          <w:color w:val="000000" w:themeColor="text1"/>
        </w:rPr>
        <w:t>Flujos de materiales:</w:t>
      </w:r>
      <w:r w:rsidRPr="00AB1C80">
        <w:rPr>
          <w:rFonts w:cs="Arial"/>
          <w:color w:val="000000" w:themeColor="text1"/>
        </w:rPr>
        <w:t xml:space="preserve"> el flujo de los materiales comprende la secuencia de las actividades de extracción de materias primas, transformación o fabricación de productos, uso o consumo y gestión de los residuos resultantes del consumo</w:t>
      </w:r>
      <w:r w:rsidR="00A45E5F" w:rsidRPr="00AB1C80">
        <w:rPr>
          <w:rStyle w:val="Refdenotaalpie"/>
          <w:rFonts w:cs="Arial"/>
          <w:color w:val="000000" w:themeColor="text1"/>
        </w:rPr>
        <w:footnoteReference w:id="24"/>
      </w:r>
      <w:r w:rsidR="00A45E5F" w:rsidRPr="00AB1C80">
        <w:rPr>
          <w:rFonts w:cs="Arial"/>
          <w:color w:val="000000" w:themeColor="text1"/>
        </w:rPr>
        <w:t>.</w:t>
      </w:r>
    </w:p>
    <w:p w14:paraId="13F974FE" w14:textId="77777777" w:rsidR="00FC37D5" w:rsidRPr="00AB1C80" w:rsidRDefault="00FC37D5" w:rsidP="00AB1C80">
      <w:pPr>
        <w:spacing w:line="276" w:lineRule="auto"/>
        <w:rPr>
          <w:rFonts w:cs="Arial"/>
          <w:color w:val="000000" w:themeColor="text1"/>
        </w:rPr>
      </w:pPr>
    </w:p>
    <w:p w14:paraId="3B474483" w14:textId="4BA1E27E" w:rsidR="00453F46" w:rsidRPr="00AB1C80" w:rsidRDefault="00453F46" w:rsidP="00AB1C80">
      <w:pPr>
        <w:spacing w:line="276" w:lineRule="auto"/>
        <w:rPr>
          <w:rFonts w:cs="Arial"/>
          <w:color w:val="000000" w:themeColor="text1"/>
        </w:rPr>
      </w:pPr>
      <w:r w:rsidRPr="00AB1C80">
        <w:rPr>
          <w:rFonts w:cs="Arial"/>
          <w:b/>
          <w:bCs/>
          <w:color w:val="000000" w:themeColor="text1"/>
        </w:rPr>
        <w:t>Instrumentos de política:</w:t>
      </w:r>
      <w:r w:rsidR="00E7196C" w:rsidRPr="00AB1C80">
        <w:rPr>
          <w:rFonts w:cs="Arial"/>
          <w:color w:val="000000" w:themeColor="text1"/>
        </w:rPr>
        <w:t xml:space="preserve"> </w:t>
      </w:r>
      <w:r w:rsidRPr="00AB1C80">
        <w:rPr>
          <w:rFonts w:cs="Arial"/>
          <w:color w:val="000000" w:themeColor="text1"/>
        </w:rPr>
        <w:t>los mecanismos contenidos</w:t>
      </w:r>
      <w:r w:rsidR="006723D4" w:rsidRPr="00AB1C80">
        <w:rPr>
          <w:rFonts w:cs="Arial"/>
          <w:color w:val="000000" w:themeColor="text1"/>
        </w:rPr>
        <w:t xml:space="preserve"> </w:t>
      </w:r>
      <w:r w:rsidRPr="00AB1C80">
        <w:rPr>
          <w:rFonts w:cs="Arial"/>
          <w:color w:val="000000" w:themeColor="text1"/>
        </w:rPr>
        <w:t>en la ley que pueden emplearse para llevar a cabo objetivos de estrategia. Pueden ser instrumentos económicos, técnicos y normativos</w:t>
      </w:r>
      <w:r w:rsidR="00A45E5F" w:rsidRPr="00AB1C80">
        <w:rPr>
          <w:rStyle w:val="Refdenotaalpie"/>
          <w:rFonts w:cs="Arial"/>
          <w:color w:val="000000" w:themeColor="text1"/>
        </w:rPr>
        <w:footnoteReference w:id="25"/>
      </w:r>
      <w:r w:rsidR="00A45E5F" w:rsidRPr="00AB1C80">
        <w:rPr>
          <w:rFonts w:cs="Arial"/>
          <w:color w:val="000000" w:themeColor="text1"/>
        </w:rPr>
        <w:t>.</w:t>
      </w:r>
    </w:p>
    <w:p w14:paraId="7B263592" w14:textId="3C2A0B40" w:rsidR="00E7196C" w:rsidRPr="00AB1C80" w:rsidRDefault="00E7196C" w:rsidP="00AB1C80">
      <w:pPr>
        <w:spacing w:line="276" w:lineRule="auto"/>
        <w:rPr>
          <w:rFonts w:cs="Arial"/>
          <w:color w:val="000000" w:themeColor="text1"/>
        </w:rPr>
      </w:pPr>
    </w:p>
    <w:p w14:paraId="1530652E" w14:textId="6F0D8F66" w:rsidR="009910DA" w:rsidRPr="00AB1C80" w:rsidRDefault="009910DA" w:rsidP="00AB1C80">
      <w:pPr>
        <w:spacing w:line="276" w:lineRule="auto"/>
        <w:rPr>
          <w:rFonts w:cs="Arial"/>
          <w:color w:val="000000" w:themeColor="text1"/>
          <w:sz w:val="23"/>
          <w:szCs w:val="23"/>
        </w:rPr>
      </w:pPr>
      <w:r w:rsidRPr="00AB1C80">
        <w:rPr>
          <w:rFonts w:cs="Arial"/>
          <w:b/>
          <w:bCs/>
          <w:color w:val="000000" w:themeColor="text1"/>
        </w:rPr>
        <w:t>Materiales de excavación:</w:t>
      </w:r>
      <w:r w:rsidRPr="00AB1C80">
        <w:rPr>
          <w:rFonts w:cs="Arial"/>
          <w:color w:val="000000" w:themeColor="text1"/>
        </w:rPr>
        <w:t xml:space="preserve"> el material de excavación es normalmente un residuo inerte, natural o artificial. En algunos casos se presenta con contaminantes al no responder a un suelo virgen. Son, en general, de naturaleza pétrea (tierra, rocas de excavación, materiales granulares)</w:t>
      </w:r>
      <w:r w:rsidRPr="00AB1C80">
        <w:rPr>
          <w:rStyle w:val="Refdenotaalpie"/>
          <w:rFonts w:cs="Arial"/>
          <w:color w:val="000000" w:themeColor="text1"/>
        </w:rPr>
        <w:footnoteReference w:id="26"/>
      </w:r>
      <w:r w:rsidRPr="00AB1C80">
        <w:rPr>
          <w:rFonts w:cs="Arial"/>
          <w:color w:val="000000" w:themeColor="text1"/>
          <w:sz w:val="23"/>
          <w:szCs w:val="23"/>
        </w:rPr>
        <w:t>.</w:t>
      </w:r>
    </w:p>
    <w:p w14:paraId="7CA6461C" w14:textId="2BFBBB13" w:rsidR="009910DA" w:rsidRPr="00AB1C80" w:rsidRDefault="009910DA" w:rsidP="00AB1C80">
      <w:pPr>
        <w:spacing w:line="276" w:lineRule="auto"/>
        <w:rPr>
          <w:rFonts w:cs="Arial"/>
          <w:color w:val="000000" w:themeColor="text1"/>
        </w:rPr>
      </w:pPr>
    </w:p>
    <w:p w14:paraId="3548FCE1" w14:textId="39946E81" w:rsidR="00E675E2" w:rsidRPr="00AB1C80" w:rsidRDefault="00E675E2" w:rsidP="00AB1C80">
      <w:pPr>
        <w:spacing w:line="276" w:lineRule="auto"/>
        <w:rPr>
          <w:rFonts w:cs="Arial"/>
          <w:color w:val="000000" w:themeColor="text1"/>
        </w:rPr>
      </w:pPr>
      <w:r w:rsidRPr="00AB1C80">
        <w:rPr>
          <w:rFonts w:cs="Arial"/>
          <w:b/>
          <w:bCs/>
          <w:color w:val="000000" w:themeColor="text1"/>
        </w:rPr>
        <w:t>Objetivos de Desarrollo Sostenible</w:t>
      </w:r>
      <w:r w:rsidR="00185F17" w:rsidRPr="00AB1C80">
        <w:rPr>
          <w:rFonts w:cs="Arial"/>
          <w:b/>
          <w:bCs/>
          <w:color w:val="000000" w:themeColor="text1"/>
        </w:rPr>
        <w:t xml:space="preserve"> </w:t>
      </w:r>
      <w:r w:rsidRPr="00AB1C80">
        <w:rPr>
          <w:rFonts w:cs="Arial"/>
          <w:b/>
          <w:bCs/>
          <w:color w:val="000000" w:themeColor="text1"/>
        </w:rPr>
        <w:t>(ODS):</w:t>
      </w:r>
      <w:r w:rsidRPr="00AB1C80">
        <w:rPr>
          <w:rFonts w:cs="Arial"/>
          <w:color w:val="000000" w:themeColor="text1"/>
        </w:rPr>
        <w:t xml:space="preserve"> son la agenda global de desarrollo aprobada el 25 de septiembre de 2015 en el marco de la Asamblea General de las Naciones Unidas, con el objetivo de promover la sostenibilidad ambiental, la erradicación de la pobreza y la inclusión social, la prosperidad económica y la paz.  </w:t>
      </w:r>
      <w:r w:rsidRPr="00AB1C80">
        <w:rPr>
          <w:rFonts w:cs="Arial"/>
          <w:color w:val="000000" w:themeColor="text1"/>
        </w:rPr>
        <w:lastRenderedPageBreak/>
        <w:t>Son 17 objetivos asociados a 169 metas que fueron adoptados por las partes firmantes. Cada país ha definido compromisos concretos alrededor de los ODS para alcanzar las metas propuestas a 2030</w:t>
      </w:r>
      <w:r w:rsidR="00185F17" w:rsidRPr="00AB1C80">
        <w:rPr>
          <w:rStyle w:val="Refdenotaalpie"/>
          <w:rFonts w:cs="Arial"/>
          <w:color w:val="000000" w:themeColor="text1"/>
        </w:rPr>
        <w:footnoteReference w:id="27"/>
      </w:r>
      <w:r w:rsidR="00185F17" w:rsidRPr="00AB1C80">
        <w:rPr>
          <w:rFonts w:cs="Arial"/>
          <w:color w:val="000000" w:themeColor="text1"/>
          <w:sz w:val="23"/>
          <w:szCs w:val="23"/>
        </w:rPr>
        <w:t>.</w:t>
      </w:r>
    </w:p>
    <w:p w14:paraId="655F45A1" w14:textId="77777777" w:rsidR="00E675E2" w:rsidRPr="00AB1C80" w:rsidRDefault="00E675E2" w:rsidP="00AB1C80">
      <w:pPr>
        <w:spacing w:line="276" w:lineRule="auto"/>
        <w:rPr>
          <w:rFonts w:cs="Arial"/>
          <w:color w:val="000000" w:themeColor="text1"/>
        </w:rPr>
      </w:pPr>
    </w:p>
    <w:p w14:paraId="5476B50C" w14:textId="6ABE2149" w:rsidR="00E7196C" w:rsidRPr="00AB1C80" w:rsidRDefault="00E7196C" w:rsidP="00AB1C80">
      <w:pPr>
        <w:spacing w:line="276" w:lineRule="auto"/>
        <w:rPr>
          <w:rFonts w:cs="Arial"/>
          <w:color w:val="000000" w:themeColor="text1"/>
        </w:rPr>
      </w:pPr>
      <w:r w:rsidRPr="00AB1C80">
        <w:rPr>
          <w:rFonts w:cs="Arial"/>
          <w:b/>
          <w:bCs/>
          <w:color w:val="000000" w:themeColor="text1"/>
        </w:rPr>
        <w:t>Producción más limpia:</w:t>
      </w:r>
      <w:r w:rsidRPr="00AB1C80">
        <w:rPr>
          <w:rFonts w:cs="Arial"/>
          <w:color w:val="000000" w:themeColor="text1"/>
        </w:rPr>
        <w:t xml:space="preserve"> una aplicación</w:t>
      </w:r>
      <w:r w:rsidR="00482A58" w:rsidRPr="00AB1C80">
        <w:rPr>
          <w:rFonts w:cs="Arial"/>
          <w:color w:val="000000" w:themeColor="text1"/>
        </w:rPr>
        <w:t xml:space="preserve"> </w:t>
      </w:r>
      <w:r w:rsidRPr="00AB1C80">
        <w:rPr>
          <w:rFonts w:cs="Arial"/>
          <w:color w:val="000000" w:themeColor="text1"/>
        </w:rPr>
        <w:t>continua</w:t>
      </w:r>
      <w:r w:rsidR="00482A58" w:rsidRPr="00AB1C80">
        <w:rPr>
          <w:rFonts w:cs="Arial"/>
          <w:color w:val="000000" w:themeColor="text1"/>
        </w:rPr>
        <w:t xml:space="preserve"> </w:t>
      </w:r>
      <w:r w:rsidRPr="00AB1C80">
        <w:rPr>
          <w:rFonts w:cs="Arial"/>
          <w:color w:val="000000" w:themeColor="text1"/>
        </w:rPr>
        <w:t>de una estrategia ambiental preventiva e integrada, en los procesos productivos, los productos y los servicios para reducir los riesgos relevantes a los humanos y el medio ambiente</w:t>
      </w:r>
      <w:r w:rsidR="00A45E5F" w:rsidRPr="00AB1C80">
        <w:rPr>
          <w:rStyle w:val="Refdenotaalpie"/>
          <w:rFonts w:cs="Arial"/>
          <w:color w:val="000000" w:themeColor="text1"/>
        </w:rPr>
        <w:footnoteReference w:id="28"/>
      </w:r>
      <w:r w:rsidR="00A45E5F" w:rsidRPr="00AB1C80">
        <w:rPr>
          <w:rFonts w:cs="Arial"/>
          <w:color w:val="000000" w:themeColor="text1"/>
        </w:rPr>
        <w:t>.</w:t>
      </w:r>
    </w:p>
    <w:p w14:paraId="3B1BC1DB" w14:textId="32E8C208" w:rsidR="001B2D35" w:rsidRPr="00AB1C80" w:rsidRDefault="001B2D35" w:rsidP="00AB1C80">
      <w:pPr>
        <w:spacing w:line="276" w:lineRule="auto"/>
        <w:rPr>
          <w:rFonts w:cs="Arial"/>
          <w:color w:val="000000" w:themeColor="text1"/>
        </w:rPr>
      </w:pPr>
    </w:p>
    <w:p w14:paraId="26686DB9" w14:textId="4CFFB609" w:rsidR="001B2D35" w:rsidRPr="00AB1C80" w:rsidRDefault="001B2D35" w:rsidP="00AB1C80">
      <w:pPr>
        <w:spacing w:line="276" w:lineRule="auto"/>
        <w:rPr>
          <w:rFonts w:cs="Arial"/>
          <w:color w:val="000000" w:themeColor="text1"/>
        </w:rPr>
      </w:pPr>
      <w:r w:rsidRPr="00AB1C80">
        <w:rPr>
          <w:rFonts w:cs="Arial"/>
          <w:b/>
          <w:bCs/>
          <w:color w:val="000000" w:themeColor="text1"/>
        </w:rPr>
        <w:t>Producción y consumo sostenible:</w:t>
      </w:r>
      <w:r w:rsidRPr="00AB1C80">
        <w:rPr>
          <w:rFonts w:cs="Arial"/>
          <w:color w:val="000000" w:themeColor="text1"/>
        </w:rPr>
        <w:t xml:space="preserve"> sistema integrado </w:t>
      </w:r>
      <w:r w:rsidR="009910DA" w:rsidRPr="00AB1C80">
        <w:rPr>
          <w:rFonts w:cs="Arial"/>
          <w:color w:val="000000" w:themeColor="text1"/>
        </w:rPr>
        <w:t xml:space="preserve">de </w:t>
      </w:r>
      <w:r w:rsidRPr="00AB1C80">
        <w:rPr>
          <w:rFonts w:cs="Arial"/>
          <w:color w:val="000000" w:themeColor="text1"/>
        </w:rPr>
        <w:t>producción y consumo, donde las tendencias están interrelacionadas y se afectan mutuamente. Cualquier cambio en la producción, impacta en el consumo y viceversa. En la medida en que la empresa logra disminuir el impacto ambiental de su proceso de producción, automáticamente el producto o servicio que ofrece en el mercado es más sostenible. Por otro lado, las fuerzas de demanda pueden incentivar la producción más limpia</w:t>
      </w:r>
      <w:r w:rsidR="00A45E5F" w:rsidRPr="00AB1C80">
        <w:rPr>
          <w:rStyle w:val="Refdenotaalpie"/>
          <w:rFonts w:cs="Arial"/>
          <w:color w:val="000000" w:themeColor="text1"/>
        </w:rPr>
        <w:footnoteReference w:id="29"/>
      </w:r>
      <w:r w:rsidR="00A45E5F" w:rsidRPr="00AB1C80">
        <w:rPr>
          <w:rFonts w:cs="Arial"/>
          <w:color w:val="000000" w:themeColor="text1"/>
        </w:rPr>
        <w:t>.</w:t>
      </w:r>
    </w:p>
    <w:p w14:paraId="43476445" w14:textId="24DE922B" w:rsidR="00991E36" w:rsidRPr="00AB1C80" w:rsidRDefault="00991E36" w:rsidP="00AB1C80">
      <w:pPr>
        <w:spacing w:line="276" w:lineRule="auto"/>
        <w:rPr>
          <w:rFonts w:cs="Arial"/>
          <w:color w:val="000000" w:themeColor="text1"/>
        </w:rPr>
      </w:pPr>
    </w:p>
    <w:p w14:paraId="394379C4" w14:textId="25832506" w:rsidR="00991E36" w:rsidRPr="00AB1C80" w:rsidRDefault="00991E36" w:rsidP="00AB1C80">
      <w:pPr>
        <w:spacing w:line="276" w:lineRule="auto"/>
        <w:rPr>
          <w:rFonts w:cs="Arial"/>
          <w:color w:val="000000" w:themeColor="text1"/>
          <w:szCs w:val="24"/>
        </w:rPr>
      </w:pPr>
      <w:r w:rsidRPr="00AB1C80">
        <w:rPr>
          <w:rFonts w:cs="Arial"/>
          <w:b/>
          <w:bCs/>
          <w:color w:val="000000" w:themeColor="text1"/>
          <w:szCs w:val="24"/>
        </w:rPr>
        <w:t>Reciclable:</w:t>
      </w:r>
      <w:r w:rsidRPr="00AB1C80">
        <w:rPr>
          <w:rFonts w:cs="Arial"/>
          <w:color w:val="000000" w:themeColor="text1"/>
          <w:szCs w:val="24"/>
        </w:rPr>
        <w:t xml:space="preserve"> característica de un producto, empaque o componente que puede ser separado de la corriente de desechos, recolectado, procesado y retornado para usarse en forma de materia prima o producto</w:t>
      </w:r>
      <w:r w:rsidR="00A45E5F" w:rsidRPr="00AB1C80">
        <w:rPr>
          <w:rStyle w:val="Refdenotaalpie"/>
          <w:rFonts w:cs="Arial"/>
          <w:color w:val="000000" w:themeColor="text1"/>
          <w:szCs w:val="24"/>
        </w:rPr>
        <w:footnoteReference w:id="30"/>
      </w:r>
      <w:r w:rsidR="00A45E5F" w:rsidRPr="00AB1C80">
        <w:rPr>
          <w:rFonts w:cs="Arial"/>
          <w:color w:val="000000" w:themeColor="text1"/>
          <w:szCs w:val="24"/>
        </w:rPr>
        <w:t>.</w:t>
      </w:r>
    </w:p>
    <w:p w14:paraId="333030CC" w14:textId="77777777" w:rsidR="00E40B48" w:rsidRPr="00AB1C80" w:rsidRDefault="00E40B48" w:rsidP="00AB1C80">
      <w:pPr>
        <w:spacing w:line="276" w:lineRule="auto"/>
        <w:rPr>
          <w:rFonts w:cs="Arial"/>
          <w:color w:val="000000" w:themeColor="text1"/>
          <w:szCs w:val="24"/>
        </w:rPr>
      </w:pPr>
    </w:p>
    <w:p w14:paraId="16C0F02A" w14:textId="0823CDF8" w:rsidR="00E40B48" w:rsidRPr="00AB1C80" w:rsidRDefault="00E40B48" w:rsidP="00AB1C80">
      <w:pPr>
        <w:spacing w:line="276" w:lineRule="auto"/>
        <w:rPr>
          <w:rFonts w:cs="Arial"/>
          <w:color w:val="000000" w:themeColor="text1"/>
          <w:szCs w:val="24"/>
        </w:rPr>
      </w:pPr>
      <w:r w:rsidRPr="00AB1C80">
        <w:rPr>
          <w:rFonts w:cs="Arial"/>
          <w:b/>
          <w:bCs/>
          <w:color w:val="000000" w:themeColor="text1"/>
          <w:szCs w:val="24"/>
        </w:rPr>
        <w:t xml:space="preserve">Reciclaje: </w:t>
      </w:r>
      <w:r w:rsidR="002855A1" w:rsidRPr="00AB1C80">
        <w:rPr>
          <w:rFonts w:cs="Arial"/>
          <w:color w:val="000000" w:themeColor="text1"/>
          <w:szCs w:val="24"/>
        </w:rPr>
        <w:t>t</w:t>
      </w:r>
      <w:r w:rsidRPr="00AB1C80">
        <w:rPr>
          <w:rFonts w:cs="Arial"/>
          <w:color w:val="000000" w:themeColor="text1"/>
          <w:szCs w:val="24"/>
        </w:rPr>
        <w:t xml:space="preserve">ratamiento o manipulación de los residuos, de forma artesanal o industrial, para crear un componente o un material nuevo, para ser introducido en un proceso </w:t>
      </w:r>
      <w:r w:rsidRPr="00AB1C80">
        <w:rPr>
          <w:rStyle w:val="Refdenotaalpie"/>
          <w:rFonts w:cs="Arial"/>
          <w:color w:val="000000" w:themeColor="text1"/>
          <w:szCs w:val="24"/>
        </w:rPr>
        <w:footnoteReference w:id="31"/>
      </w:r>
      <w:r w:rsidRPr="00AB1C80">
        <w:rPr>
          <w:rFonts w:cs="Arial"/>
          <w:color w:val="000000" w:themeColor="text1"/>
          <w:szCs w:val="24"/>
        </w:rPr>
        <w:t>.</w:t>
      </w:r>
    </w:p>
    <w:p w14:paraId="6E72D1EC" w14:textId="7570C247" w:rsidR="00E24E1D" w:rsidRPr="00AB1C80" w:rsidRDefault="00E24E1D" w:rsidP="00AB1C80">
      <w:pPr>
        <w:spacing w:line="276" w:lineRule="auto"/>
        <w:rPr>
          <w:rFonts w:cs="Arial"/>
          <w:b/>
          <w:bCs/>
          <w:color w:val="000000" w:themeColor="text1"/>
          <w:szCs w:val="24"/>
        </w:rPr>
      </w:pPr>
    </w:p>
    <w:p w14:paraId="28E2C432" w14:textId="77777777" w:rsidR="00E45A26" w:rsidRPr="00AB1C80" w:rsidRDefault="00E45A26" w:rsidP="00AB1C80">
      <w:pPr>
        <w:spacing w:line="276" w:lineRule="auto"/>
        <w:rPr>
          <w:rFonts w:cs="Arial"/>
          <w:color w:val="000000" w:themeColor="text1"/>
          <w:szCs w:val="24"/>
        </w:rPr>
      </w:pPr>
      <w:r w:rsidRPr="00AB1C80">
        <w:rPr>
          <w:rFonts w:cs="Arial"/>
          <w:b/>
          <w:bCs/>
          <w:color w:val="000000" w:themeColor="text1"/>
          <w:szCs w:val="24"/>
        </w:rPr>
        <w:t>Reciclar:</w:t>
      </w:r>
      <w:r w:rsidRPr="00AB1C80">
        <w:rPr>
          <w:rFonts w:cs="Arial"/>
          <w:color w:val="000000" w:themeColor="text1"/>
          <w:szCs w:val="24"/>
        </w:rPr>
        <w:t xml:space="preserve"> proceso de transformación física, química, y/o biológica de los materiales</w:t>
      </w:r>
    </w:p>
    <w:p w14:paraId="1E8D6DD0" w14:textId="77777777" w:rsidR="00E45A26" w:rsidRPr="00AB1C80" w:rsidRDefault="00E45A26" w:rsidP="00AB1C80">
      <w:pPr>
        <w:spacing w:line="276" w:lineRule="auto"/>
        <w:rPr>
          <w:rFonts w:cs="Arial"/>
          <w:color w:val="000000" w:themeColor="text1"/>
          <w:szCs w:val="24"/>
        </w:rPr>
      </w:pPr>
      <w:r w:rsidRPr="00AB1C80">
        <w:rPr>
          <w:rFonts w:cs="Arial"/>
          <w:color w:val="000000" w:themeColor="text1"/>
          <w:szCs w:val="24"/>
        </w:rPr>
        <w:t>procedentes de los residuos, para su reincorporación en un ciclo productivo o ecológico</w:t>
      </w:r>
      <w:r w:rsidRPr="00AB1C80">
        <w:rPr>
          <w:rStyle w:val="Refdenotaalpie"/>
          <w:rFonts w:cs="Arial"/>
          <w:color w:val="000000" w:themeColor="text1"/>
          <w:szCs w:val="24"/>
        </w:rPr>
        <w:footnoteReference w:id="32"/>
      </w:r>
      <w:r w:rsidRPr="00AB1C80">
        <w:rPr>
          <w:rFonts w:cs="Arial"/>
          <w:color w:val="000000" w:themeColor="text1"/>
          <w:szCs w:val="24"/>
        </w:rPr>
        <w:t>.</w:t>
      </w:r>
    </w:p>
    <w:p w14:paraId="01DA25A4" w14:textId="77777777" w:rsidR="00E45A26" w:rsidRPr="00AB1C80" w:rsidRDefault="00E45A26" w:rsidP="00AB1C80">
      <w:pPr>
        <w:spacing w:line="276" w:lineRule="auto"/>
        <w:rPr>
          <w:rFonts w:cs="Arial"/>
          <w:b/>
          <w:bCs/>
          <w:color w:val="000000" w:themeColor="text1"/>
          <w:szCs w:val="24"/>
        </w:rPr>
      </w:pPr>
    </w:p>
    <w:p w14:paraId="099A5311" w14:textId="634879BA" w:rsidR="00991E36" w:rsidRPr="00AB1C80" w:rsidRDefault="00991E36" w:rsidP="00AB1C80">
      <w:pPr>
        <w:spacing w:line="276" w:lineRule="auto"/>
        <w:rPr>
          <w:rFonts w:cs="Arial"/>
          <w:color w:val="000000" w:themeColor="text1"/>
          <w:szCs w:val="24"/>
        </w:rPr>
      </w:pPr>
      <w:r w:rsidRPr="00AB1C80">
        <w:rPr>
          <w:rFonts w:cs="Arial"/>
          <w:b/>
          <w:bCs/>
          <w:color w:val="000000" w:themeColor="text1"/>
          <w:szCs w:val="24"/>
        </w:rPr>
        <w:t>Recirculación del agua:</w:t>
      </w:r>
      <w:r w:rsidRPr="00AB1C80">
        <w:rPr>
          <w:rFonts w:cs="Arial"/>
          <w:color w:val="000000" w:themeColor="text1"/>
          <w:szCs w:val="24"/>
        </w:rPr>
        <w:t xml:space="preserve"> es una estrategia de uso eficiente del agua que permite su aprovechamiento para el mismo fin de uso, dentro de los límites físicos donde se desarrolla la actividad</w:t>
      </w:r>
      <w:r w:rsidR="00A45E5F" w:rsidRPr="00AB1C80">
        <w:rPr>
          <w:rStyle w:val="Refdenotaalpie"/>
          <w:rFonts w:cs="Arial"/>
          <w:color w:val="000000" w:themeColor="text1"/>
          <w:szCs w:val="24"/>
        </w:rPr>
        <w:footnoteReference w:id="33"/>
      </w:r>
      <w:r w:rsidR="00A45E5F" w:rsidRPr="00AB1C80">
        <w:rPr>
          <w:rFonts w:cs="Arial"/>
          <w:color w:val="000000" w:themeColor="text1"/>
          <w:szCs w:val="24"/>
        </w:rPr>
        <w:t>.</w:t>
      </w:r>
    </w:p>
    <w:p w14:paraId="3D85848B" w14:textId="0D48EDAC" w:rsidR="00991E36" w:rsidRPr="00AB1C80" w:rsidRDefault="00991E36" w:rsidP="00AB1C80">
      <w:pPr>
        <w:spacing w:line="276" w:lineRule="auto"/>
        <w:rPr>
          <w:rFonts w:cs="Arial"/>
          <w:color w:val="000000" w:themeColor="text1"/>
          <w:szCs w:val="24"/>
        </w:rPr>
      </w:pPr>
    </w:p>
    <w:p w14:paraId="448DEDDC" w14:textId="77777777" w:rsidR="006637C2" w:rsidRPr="00AB1C80" w:rsidRDefault="006637C2" w:rsidP="00AB1C80">
      <w:pPr>
        <w:spacing w:line="276" w:lineRule="auto"/>
        <w:rPr>
          <w:rFonts w:cs="Arial"/>
          <w:color w:val="000000" w:themeColor="text1"/>
          <w:szCs w:val="24"/>
        </w:rPr>
      </w:pPr>
      <w:r w:rsidRPr="00AB1C80">
        <w:rPr>
          <w:rFonts w:cs="Arial"/>
          <w:b/>
          <w:bCs/>
          <w:color w:val="000000" w:themeColor="text1"/>
          <w:szCs w:val="24"/>
        </w:rPr>
        <w:t>Recuperación de materiales</w:t>
      </w:r>
      <w:r w:rsidRPr="00AB1C80">
        <w:rPr>
          <w:rFonts w:cs="Arial"/>
          <w:color w:val="000000" w:themeColor="text1"/>
          <w:szCs w:val="24"/>
        </w:rPr>
        <w:t>: es la acción que permite seleccionar y retirar los residuos sólidos que pueden someterse a un nuevo proceso de aprovechamiento, para convertirlos en materia prima útil en la fabricación de nuevos productos</w:t>
      </w:r>
      <w:r w:rsidRPr="00AB1C80">
        <w:rPr>
          <w:rStyle w:val="Refdenotaalpie"/>
          <w:rFonts w:cs="Arial"/>
          <w:color w:val="000000" w:themeColor="text1"/>
          <w:szCs w:val="24"/>
        </w:rPr>
        <w:footnoteReference w:id="34"/>
      </w:r>
      <w:r w:rsidRPr="00AB1C80">
        <w:rPr>
          <w:rFonts w:cs="Arial"/>
          <w:color w:val="000000" w:themeColor="text1"/>
          <w:szCs w:val="24"/>
        </w:rPr>
        <w:t xml:space="preserve">. </w:t>
      </w:r>
    </w:p>
    <w:p w14:paraId="02323E7B" w14:textId="77777777" w:rsidR="006637C2" w:rsidRPr="00AB1C80" w:rsidRDefault="006637C2" w:rsidP="00AB1C80">
      <w:pPr>
        <w:spacing w:line="276" w:lineRule="auto"/>
        <w:rPr>
          <w:rFonts w:cs="Arial"/>
          <w:color w:val="000000" w:themeColor="text1"/>
          <w:szCs w:val="24"/>
        </w:rPr>
      </w:pPr>
    </w:p>
    <w:p w14:paraId="398C10BF" w14:textId="36D42919" w:rsidR="00A25153" w:rsidRPr="00AB1C80" w:rsidRDefault="00A25153" w:rsidP="00AB1C80">
      <w:pPr>
        <w:spacing w:line="276" w:lineRule="auto"/>
        <w:rPr>
          <w:rFonts w:cs="Arial"/>
          <w:color w:val="000000" w:themeColor="text1"/>
          <w:szCs w:val="24"/>
        </w:rPr>
      </w:pPr>
      <w:r w:rsidRPr="00AB1C80">
        <w:rPr>
          <w:rFonts w:cs="Arial"/>
          <w:b/>
          <w:bCs/>
          <w:color w:val="000000" w:themeColor="text1"/>
          <w:szCs w:val="24"/>
        </w:rPr>
        <w:t>Reducir:</w:t>
      </w:r>
      <w:r w:rsidRPr="00AB1C80">
        <w:rPr>
          <w:rFonts w:cs="Arial"/>
          <w:color w:val="000000" w:themeColor="text1"/>
          <w:szCs w:val="24"/>
        </w:rPr>
        <w:t xml:space="preserve"> prevenir el consumo excesivo y la generación de residuos sólidos para disminuir los impactos ambientales y los costos asociados a su manipulación. La reducción de residuos sólidos puede realizarse en las viviendas, las instalaciones comerciales e industriales a través de compras selectivas y reutilización de productos y materiales</w:t>
      </w:r>
      <w:r w:rsidR="002C0ABF" w:rsidRPr="00AB1C80">
        <w:rPr>
          <w:rStyle w:val="Refdenotaalpie"/>
          <w:rFonts w:cs="Arial"/>
          <w:color w:val="000000" w:themeColor="text1"/>
          <w:szCs w:val="24"/>
        </w:rPr>
        <w:footnoteReference w:id="35"/>
      </w:r>
      <w:r w:rsidR="002C0ABF" w:rsidRPr="00AB1C80">
        <w:rPr>
          <w:rFonts w:cs="Arial"/>
          <w:color w:val="000000" w:themeColor="text1"/>
          <w:szCs w:val="24"/>
        </w:rPr>
        <w:t>.</w:t>
      </w:r>
    </w:p>
    <w:p w14:paraId="4E044160" w14:textId="12DBC90C" w:rsidR="00A25153" w:rsidRPr="00AB1C80" w:rsidRDefault="00A25153" w:rsidP="00AB1C80">
      <w:pPr>
        <w:spacing w:line="276" w:lineRule="auto"/>
        <w:rPr>
          <w:rFonts w:cs="Arial"/>
          <w:color w:val="000000" w:themeColor="text1"/>
          <w:szCs w:val="24"/>
        </w:rPr>
      </w:pPr>
    </w:p>
    <w:p w14:paraId="7B9A242C" w14:textId="77777777" w:rsidR="006637C2" w:rsidRPr="00AB1C80" w:rsidRDefault="006637C2" w:rsidP="00AB1C80">
      <w:pPr>
        <w:spacing w:line="276" w:lineRule="auto"/>
        <w:rPr>
          <w:rFonts w:cs="Arial"/>
          <w:color w:val="000000" w:themeColor="text1"/>
          <w:szCs w:val="24"/>
        </w:rPr>
      </w:pPr>
      <w:r w:rsidRPr="00AB1C80">
        <w:rPr>
          <w:rFonts w:cs="Arial"/>
          <w:b/>
          <w:bCs/>
          <w:color w:val="000000" w:themeColor="text1"/>
          <w:szCs w:val="24"/>
        </w:rPr>
        <w:t xml:space="preserve">Residuos de construcción: </w:t>
      </w:r>
      <w:r w:rsidRPr="00AB1C80">
        <w:rPr>
          <w:rFonts w:cs="Arial"/>
          <w:color w:val="000000" w:themeColor="text1"/>
          <w:szCs w:val="24"/>
        </w:rPr>
        <w:t xml:space="preserve">se entiende por residuos de la construcción todos los generados en una actividad de este tipo, incluyendo los de madera y escombros, a los que se conoce como RCD </w:t>
      </w:r>
      <w:r w:rsidRPr="00AB1C80">
        <w:rPr>
          <w:rStyle w:val="Refdenotaalpie"/>
          <w:rFonts w:cs="Arial"/>
          <w:color w:val="000000" w:themeColor="text1"/>
          <w:szCs w:val="24"/>
        </w:rPr>
        <w:footnoteReference w:id="36"/>
      </w:r>
      <w:r w:rsidRPr="00AB1C80">
        <w:rPr>
          <w:rFonts w:cs="Arial"/>
          <w:color w:val="000000" w:themeColor="text1"/>
          <w:szCs w:val="24"/>
        </w:rPr>
        <w:t>.</w:t>
      </w:r>
    </w:p>
    <w:p w14:paraId="14BC7C39" w14:textId="6CD51BDD" w:rsidR="006637C2" w:rsidRPr="00AB1C80" w:rsidRDefault="006637C2" w:rsidP="00AB1C80">
      <w:pPr>
        <w:spacing w:line="276" w:lineRule="auto"/>
        <w:rPr>
          <w:rFonts w:cs="Arial"/>
          <w:color w:val="000000" w:themeColor="text1"/>
        </w:rPr>
      </w:pPr>
    </w:p>
    <w:p w14:paraId="407BC765" w14:textId="77777777" w:rsidR="00DC2BDC" w:rsidRPr="00AB1C80" w:rsidRDefault="00DC2BDC" w:rsidP="00AB1C80">
      <w:pPr>
        <w:spacing w:line="276" w:lineRule="auto"/>
        <w:rPr>
          <w:rFonts w:cs="Arial"/>
          <w:color w:val="000000" w:themeColor="text1"/>
        </w:rPr>
      </w:pPr>
      <w:r w:rsidRPr="00AB1C80">
        <w:rPr>
          <w:rFonts w:cs="Arial"/>
          <w:b/>
          <w:bCs/>
          <w:color w:val="000000" w:themeColor="text1"/>
        </w:rPr>
        <w:t>Reutilización:</w:t>
      </w:r>
      <w:r w:rsidRPr="00AB1C80">
        <w:rPr>
          <w:rFonts w:cs="Arial"/>
          <w:color w:val="000000" w:themeColor="text1"/>
        </w:rPr>
        <w:t xml:space="preserve"> la prolongación de la vida útil de los materiales recuperados que se vuelven a utilizar sin que se requiera un proceso de transformación previo</w:t>
      </w:r>
      <w:r w:rsidRPr="00AB1C80">
        <w:rPr>
          <w:rStyle w:val="Refdenotaalpie"/>
          <w:rFonts w:cs="Arial"/>
          <w:color w:val="000000" w:themeColor="text1"/>
        </w:rPr>
        <w:footnoteReference w:id="37"/>
      </w:r>
      <w:r w:rsidRPr="00AB1C80">
        <w:rPr>
          <w:rFonts w:cs="Arial"/>
          <w:color w:val="000000" w:themeColor="text1"/>
        </w:rPr>
        <w:t>.</w:t>
      </w:r>
    </w:p>
    <w:p w14:paraId="0A0BA7AA" w14:textId="77777777" w:rsidR="00DC2BDC" w:rsidRPr="00AB1C80" w:rsidRDefault="00DC2BDC" w:rsidP="00AB1C80">
      <w:pPr>
        <w:spacing w:line="276" w:lineRule="auto"/>
        <w:rPr>
          <w:rFonts w:cs="Arial"/>
          <w:b/>
          <w:bCs/>
          <w:color w:val="000000" w:themeColor="text1"/>
        </w:rPr>
      </w:pPr>
    </w:p>
    <w:p w14:paraId="19A28900" w14:textId="2CEC8DE0" w:rsidR="00DC2BDC" w:rsidRPr="00AB1C80" w:rsidRDefault="00DC2BDC" w:rsidP="00AB1C80">
      <w:pPr>
        <w:spacing w:line="276" w:lineRule="auto"/>
        <w:rPr>
          <w:rFonts w:cs="Arial"/>
          <w:color w:val="000000" w:themeColor="text1"/>
        </w:rPr>
      </w:pPr>
      <w:r w:rsidRPr="00AB1C80">
        <w:rPr>
          <w:rFonts w:cs="Arial"/>
          <w:b/>
          <w:bCs/>
          <w:color w:val="000000" w:themeColor="text1"/>
        </w:rPr>
        <w:t>Reutilización:</w:t>
      </w:r>
      <w:r w:rsidRPr="00AB1C80">
        <w:rPr>
          <w:rFonts w:cs="Arial"/>
          <w:color w:val="000000" w:themeColor="text1"/>
        </w:rPr>
        <w:t xml:space="preserve"> reaplicación o reúso de un residuo, con el mínimo tratamiento posterior, a excepción de la limpieza o tratamiento superficial, para una función igual o parecida a la que tenía anteriormente</w:t>
      </w:r>
      <w:r w:rsidRPr="00AB1C80">
        <w:rPr>
          <w:rStyle w:val="Refdenotaalpie"/>
          <w:rFonts w:cs="Arial"/>
          <w:color w:val="000000" w:themeColor="text1"/>
        </w:rPr>
        <w:footnoteReference w:id="38"/>
      </w:r>
      <w:r w:rsidRPr="00AB1C80">
        <w:rPr>
          <w:rFonts w:cs="Arial"/>
          <w:color w:val="000000" w:themeColor="text1"/>
        </w:rPr>
        <w:t>.</w:t>
      </w:r>
    </w:p>
    <w:p w14:paraId="469AECD0" w14:textId="77777777" w:rsidR="00DC2BDC" w:rsidRPr="00AB1C80" w:rsidRDefault="00DC2BDC" w:rsidP="00AB1C80">
      <w:pPr>
        <w:spacing w:line="276" w:lineRule="auto"/>
        <w:rPr>
          <w:rFonts w:cs="Arial"/>
          <w:color w:val="000000" w:themeColor="text1"/>
        </w:rPr>
      </w:pPr>
    </w:p>
    <w:p w14:paraId="6F6433AF" w14:textId="3A93B7A6" w:rsidR="002C0ABF" w:rsidRPr="00AB1C80" w:rsidRDefault="002C0ABF" w:rsidP="00AB1C80">
      <w:pPr>
        <w:spacing w:line="276" w:lineRule="auto"/>
        <w:rPr>
          <w:rFonts w:cs="Arial"/>
          <w:color w:val="000000" w:themeColor="text1"/>
        </w:rPr>
      </w:pPr>
      <w:r w:rsidRPr="00AB1C80">
        <w:rPr>
          <w:rFonts w:cs="Arial"/>
          <w:b/>
          <w:bCs/>
          <w:color w:val="000000" w:themeColor="text1"/>
        </w:rPr>
        <w:t>Reutilizar:</w:t>
      </w:r>
      <w:r w:rsidRPr="00AB1C80">
        <w:rPr>
          <w:rFonts w:cs="Arial"/>
          <w:color w:val="000000" w:themeColor="text1"/>
        </w:rPr>
        <w:t xml:space="preserve"> acción por la cual el residuo sólido, con un previo tratamiento, es utilizado directamente para su función original o para alguna relacionada, sin adicionarle procesos de transformación</w:t>
      </w:r>
      <w:r w:rsidRPr="00AB1C80">
        <w:rPr>
          <w:rStyle w:val="Refdenotaalpie"/>
          <w:rFonts w:cs="Arial"/>
          <w:color w:val="000000" w:themeColor="text1"/>
        </w:rPr>
        <w:footnoteReference w:id="39"/>
      </w:r>
      <w:r w:rsidRPr="00AB1C80">
        <w:rPr>
          <w:rFonts w:cs="Arial"/>
          <w:color w:val="000000" w:themeColor="text1"/>
        </w:rPr>
        <w:t>.</w:t>
      </w:r>
    </w:p>
    <w:p w14:paraId="1905E0BA" w14:textId="77777777" w:rsidR="002C0ABF" w:rsidRPr="00AB1C80" w:rsidRDefault="002C0ABF" w:rsidP="00AB1C80">
      <w:pPr>
        <w:spacing w:line="276" w:lineRule="auto"/>
        <w:rPr>
          <w:rFonts w:cs="Arial"/>
          <w:color w:val="000000" w:themeColor="text1"/>
        </w:rPr>
      </w:pPr>
    </w:p>
    <w:p w14:paraId="1F27114F" w14:textId="6031B991" w:rsidR="0002532B" w:rsidRPr="00AB1C80" w:rsidRDefault="0002532B" w:rsidP="00AB1C80">
      <w:pPr>
        <w:spacing w:line="276" w:lineRule="auto"/>
        <w:rPr>
          <w:rFonts w:cs="Arial"/>
          <w:color w:val="000000" w:themeColor="text1"/>
        </w:rPr>
      </w:pPr>
      <w:r w:rsidRPr="00AB1C80">
        <w:rPr>
          <w:rFonts w:cs="Arial"/>
          <w:b/>
          <w:bCs/>
          <w:color w:val="000000" w:themeColor="text1"/>
        </w:rPr>
        <w:t>Simbiosis Industrial:</w:t>
      </w:r>
      <w:r w:rsidRPr="00AB1C80">
        <w:rPr>
          <w:rFonts w:cs="Arial"/>
          <w:color w:val="000000" w:themeColor="text1"/>
        </w:rPr>
        <w:t xml:space="preserve"> estrategia colaborativa para el intercambio de flujos físicos de materiales, energía o agua y el compartir de servicios entre actores industriales, para contribuir al uso eficiente de recursos y la reducción de impactos ambientales</w:t>
      </w:r>
    </w:p>
    <w:p w14:paraId="6F72D500" w14:textId="4F70634F" w:rsidR="00991E36" w:rsidRPr="00AB1C80" w:rsidRDefault="0002532B" w:rsidP="00AB1C80">
      <w:pPr>
        <w:spacing w:line="276" w:lineRule="auto"/>
        <w:rPr>
          <w:rFonts w:cs="Arial"/>
          <w:color w:val="000000" w:themeColor="text1"/>
        </w:rPr>
      </w:pPr>
      <w:r w:rsidRPr="00AB1C80">
        <w:rPr>
          <w:rFonts w:cs="Arial"/>
          <w:color w:val="000000" w:themeColor="text1"/>
        </w:rPr>
        <w:lastRenderedPageBreak/>
        <w:t>de sistemas industriales</w:t>
      </w:r>
      <w:r w:rsidR="00A45E5F" w:rsidRPr="00AB1C80">
        <w:rPr>
          <w:rStyle w:val="Refdenotaalpie"/>
          <w:rFonts w:cs="Arial"/>
          <w:color w:val="000000" w:themeColor="text1"/>
        </w:rPr>
        <w:footnoteReference w:id="40"/>
      </w:r>
      <w:r w:rsidR="00A45E5F" w:rsidRPr="00AB1C80">
        <w:rPr>
          <w:rFonts w:cs="Arial"/>
          <w:color w:val="000000" w:themeColor="text1"/>
        </w:rPr>
        <w:t>.</w:t>
      </w:r>
    </w:p>
    <w:p w14:paraId="4FE35A25" w14:textId="77777777" w:rsidR="000D2CCB" w:rsidRPr="00AB1C80" w:rsidRDefault="000D2CCB" w:rsidP="00AB1C80">
      <w:pPr>
        <w:spacing w:line="276" w:lineRule="auto"/>
        <w:rPr>
          <w:rFonts w:cs="Arial"/>
          <w:color w:val="000000" w:themeColor="text1"/>
        </w:rPr>
      </w:pPr>
    </w:p>
    <w:p w14:paraId="16E10CA9" w14:textId="48945876" w:rsidR="0002532B" w:rsidRPr="00AB1C80" w:rsidRDefault="0002532B" w:rsidP="00AB1C80">
      <w:pPr>
        <w:spacing w:line="276" w:lineRule="auto"/>
        <w:rPr>
          <w:rFonts w:cs="Arial"/>
          <w:color w:val="000000" w:themeColor="text1"/>
        </w:rPr>
      </w:pPr>
      <w:r w:rsidRPr="00AB1C80">
        <w:rPr>
          <w:rFonts w:cs="Arial"/>
          <w:b/>
          <w:bCs/>
          <w:color w:val="000000" w:themeColor="text1"/>
        </w:rPr>
        <w:t>Uso eficiente de recursos:</w:t>
      </w:r>
      <w:r w:rsidRPr="00AB1C80">
        <w:rPr>
          <w:rFonts w:cs="Arial"/>
          <w:color w:val="000000" w:themeColor="text1"/>
        </w:rPr>
        <w:t xml:space="preserve"> cantidad óptima de materiales, energía o agua para producir o distribuir un producto o empaque</w:t>
      </w:r>
      <w:r w:rsidR="00A45E5F" w:rsidRPr="00AB1C80">
        <w:rPr>
          <w:rStyle w:val="Refdenotaalpie"/>
          <w:rFonts w:cs="Arial"/>
          <w:color w:val="000000" w:themeColor="text1"/>
        </w:rPr>
        <w:footnoteReference w:id="41"/>
      </w:r>
      <w:r w:rsidR="00A45E5F" w:rsidRPr="00AB1C80">
        <w:rPr>
          <w:rFonts w:cs="Arial"/>
          <w:color w:val="000000" w:themeColor="text1"/>
        </w:rPr>
        <w:t>.</w:t>
      </w:r>
    </w:p>
    <w:p w14:paraId="449D10EC" w14:textId="589F174F" w:rsidR="0002532B" w:rsidRPr="00AB1C80" w:rsidRDefault="0002532B" w:rsidP="00AB1C80">
      <w:pPr>
        <w:spacing w:line="276" w:lineRule="auto"/>
        <w:rPr>
          <w:rFonts w:cs="Arial"/>
          <w:color w:val="000000" w:themeColor="text1"/>
        </w:rPr>
      </w:pPr>
    </w:p>
    <w:p w14:paraId="776593F8" w14:textId="326EF645" w:rsidR="002F2DA3" w:rsidRPr="00AB1C80" w:rsidRDefault="0002532B" w:rsidP="00AB1C80">
      <w:pPr>
        <w:spacing w:line="276" w:lineRule="auto"/>
        <w:rPr>
          <w:rFonts w:cs="Arial"/>
          <w:color w:val="000000" w:themeColor="text1"/>
        </w:rPr>
      </w:pPr>
      <w:r w:rsidRPr="00AB1C80">
        <w:rPr>
          <w:rFonts w:cs="Arial"/>
          <w:b/>
          <w:bCs/>
          <w:color w:val="000000" w:themeColor="text1"/>
        </w:rPr>
        <w:t>Vida útil:</w:t>
      </w:r>
      <w:r w:rsidRPr="00AB1C80">
        <w:rPr>
          <w:rFonts w:cs="Arial"/>
          <w:color w:val="000000" w:themeColor="text1"/>
        </w:rPr>
        <w:t xml:space="preserve"> tiempo de funcionamiento de materiales y productos determinado por la asignación de valor por porte de sus usuarios. Cuando materiales son re-usados o reciclados, su vida útil se extiende</w:t>
      </w:r>
      <w:r w:rsidR="00A45E5F" w:rsidRPr="00AB1C80">
        <w:rPr>
          <w:rStyle w:val="Refdenotaalpie"/>
          <w:rFonts w:cs="Arial"/>
          <w:color w:val="000000" w:themeColor="text1"/>
        </w:rPr>
        <w:footnoteReference w:id="42"/>
      </w:r>
      <w:r w:rsidR="00A45E5F" w:rsidRPr="00AB1C80">
        <w:rPr>
          <w:rFonts w:cs="Arial"/>
          <w:color w:val="000000" w:themeColor="text1"/>
        </w:rPr>
        <w:t>.</w:t>
      </w:r>
    </w:p>
    <w:p w14:paraId="654FBC66" w14:textId="77777777" w:rsidR="00F73F04" w:rsidRPr="00AB1C80" w:rsidRDefault="00F73F04" w:rsidP="00AB1C80">
      <w:pPr>
        <w:spacing w:line="276" w:lineRule="auto"/>
        <w:rPr>
          <w:rFonts w:cs="Arial"/>
          <w:color w:val="000000" w:themeColor="text1"/>
          <w:u w:val="single"/>
        </w:rPr>
      </w:pPr>
    </w:p>
    <w:p w14:paraId="0440E013" w14:textId="77777777" w:rsidR="00F73F04" w:rsidRPr="00AB1C80" w:rsidRDefault="00F73F04" w:rsidP="00AB1C80">
      <w:pPr>
        <w:spacing w:line="276" w:lineRule="auto"/>
        <w:rPr>
          <w:rFonts w:cs="Arial"/>
          <w:color w:val="000000" w:themeColor="text1"/>
        </w:rPr>
      </w:pPr>
    </w:p>
    <w:p w14:paraId="30E997D0" w14:textId="77777777" w:rsidR="000C45EA" w:rsidRPr="00AB1C80" w:rsidRDefault="000C45EA" w:rsidP="00AB1C80">
      <w:pPr>
        <w:spacing w:line="276" w:lineRule="auto"/>
        <w:rPr>
          <w:rFonts w:cs="Arial"/>
          <w:color w:val="000000" w:themeColor="text1"/>
          <w:szCs w:val="24"/>
        </w:rPr>
      </w:pPr>
    </w:p>
    <w:p w14:paraId="595F1129" w14:textId="577B8C7B" w:rsidR="00C65DC6" w:rsidRPr="00AB1C80" w:rsidRDefault="00C65DC6" w:rsidP="00AB1C80">
      <w:pPr>
        <w:spacing w:line="276" w:lineRule="auto"/>
        <w:jc w:val="left"/>
        <w:rPr>
          <w:rFonts w:eastAsia="Times New Roman" w:cs="Arial"/>
          <w:b/>
          <w:color w:val="000000" w:themeColor="text1"/>
          <w:szCs w:val="24"/>
        </w:rPr>
      </w:pPr>
      <w:r w:rsidRPr="00AB1C80">
        <w:rPr>
          <w:rFonts w:cs="Arial"/>
          <w:color w:val="000000" w:themeColor="text1"/>
          <w:szCs w:val="24"/>
        </w:rPr>
        <w:br w:type="page"/>
      </w:r>
    </w:p>
    <w:p w14:paraId="2EA1FB0E" w14:textId="740D4B14" w:rsidR="00456C43" w:rsidRPr="00AB1C80" w:rsidRDefault="00456C43" w:rsidP="00AB1C80">
      <w:pPr>
        <w:pStyle w:val="Ttulo1"/>
        <w:spacing w:line="276" w:lineRule="auto"/>
        <w:rPr>
          <w:rFonts w:cs="Arial"/>
          <w:szCs w:val="24"/>
          <w:lang w:val="es-CO"/>
        </w:rPr>
      </w:pPr>
      <w:bookmarkStart w:id="39" w:name="_Toc86332919"/>
      <w:r w:rsidRPr="00AB1C80">
        <w:rPr>
          <w:rFonts w:cs="Arial"/>
          <w:szCs w:val="24"/>
          <w:lang w:val="es-CO"/>
        </w:rPr>
        <w:lastRenderedPageBreak/>
        <w:t>RECOLECCIÓN DE INFORMACIÓN DE FUENTES SECUNDARIA</w:t>
      </w:r>
      <w:r w:rsidR="000C45EA" w:rsidRPr="00AB1C80">
        <w:rPr>
          <w:rFonts w:cs="Arial"/>
          <w:szCs w:val="24"/>
          <w:lang w:val="es-CO"/>
        </w:rPr>
        <w:t>S</w:t>
      </w:r>
      <w:bookmarkEnd w:id="39"/>
    </w:p>
    <w:p w14:paraId="34EA4633" w14:textId="77777777" w:rsidR="00456C43" w:rsidRPr="00AB1C80" w:rsidRDefault="00456C43" w:rsidP="00AB1C80">
      <w:pPr>
        <w:spacing w:line="276" w:lineRule="auto"/>
        <w:rPr>
          <w:rFonts w:cs="Arial"/>
          <w:color w:val="000000" w:themeColor="text1"/>
        </w:rPr>
      </w:pPr>
    </w:p>
    <w:p w14:paraId="2D608A75" w14:textId="1A5FDCF1" w:rsidR="00424BD4" w:rsidRPr="00AB1C80" w:rsidRDefault="00456C43" w:rsidP="00AB1C80">
      <w:pPr>
        <w:pStyle w:val="Ttulo2"/>
        <w:spacing w:line="276" w:lineRule="auto"/>
        <w:rPr>
          <w:rFonts w:cs="Arial"/>
        </w:rPr>
      </w:pPr>
      <w:bookmarkStart w:id="40" w:name="_Toc86332920"/>
      <w:r w:rsidRPr="00AB1C80">
        <w:rPr>
          <w:rFonts w:cs="Arial"/>
        </w:rPr>
        <w:t xml:space="preserve">Información sobre </w:t>
      </w:r>
      <w:bookmarkEnd w:id="36"/>
      <w:r w:rsidR="006064A3" w:rsidRPr="00AB1C80">
        <w:rPr>
          <w:rFonts w:cs="Arial"/>
        </w:rPr>
        <w:t xml:space="preserve">gestión y manejo de </w:t>
      </w:r>
      <w:r w:rsidR="00C65DC6" w:rsidRPr="00AB1C80">
        <w:rPr>
          <w:rFonts w:cs="Arial"/>
        </w:rPr>
        <w:t>estériles</w:t>
      </w:r>
      <w:bookmarkEnd w:id="40"/>
    </w:p>
    <w:p w14:paraId="2FE88CCC" w14:textId="46CF2FA9" w:rsidR="0091109F" w:rsidRPr="00AB1C80" w:rsidRDefault="0091109F" w:rsidP="00AB1C80">
      <w:pPr>
        <w:spacing w:line="276" w:lineRule="auto"/>
        <w:rPr>
          <w:rFonts w:cs="Arial"/>
          <w:color w:val="000000" w:themeColor="text1"/>
          <w:szCs w:val="24"/>
        </w:rPr>
      </w:pPr>
    </w:p>
    <w:p w14:paraId="437BBC45" w14:textId="69F38ED6" w:rsidR="006064A3" w:rsidRPr="00AB1C80" w:rsidRDefault="00B6675A" w:rsidP="00AB1C80">
      <w:pPr>
        <w:spacing w:line="276" w:lineRule="auto"/>
        <w:rPr>
          <w:rFonts w:cs="Arial"/>
          <w:color w:val="000000" w:themeColor="text1"/>
          <w:szCs w:val="24"/>
        </w:rPr>
      </w:pPr>
      <w:r w:rsidRPr="00AB1C80">
        <w:rPr>
          <w:rFonts w:cs="Arial"/>
          <w:color w:val="000000" w:themeColor="text1"/>
          <w:szCs w:val="24"/>
        </w:rPr>
        <w:t xml:space="preserve">En la recolección de información se revisaron </w:t>
      </w:r>
      <w:r w:rsidR="008461EF" w:rsidRPr="00AB1C80">
        <w:rPr>
          <w:rFonts w:cs="Arial"/>
          <w:color w:val="000000" w:themeColor="text1"/>
          <w:szCs w:val="24"/>
        </w:rPr>
        <w:t xml:space="preserve">ochenta </w:t>
      </w:r>
      <w:r w:rsidR="008461EF" w:rsidRPr="00AB1C80">
        <w:rPr>
          <w:rFonts w:cs="Arial"/>
          <w:b/>
          <w:bCs/>
          <w:color w:val="000000" w:themeColor="text1"/>
          <w:szCs w:val="24"/>
        </w:rPr>
        <w:t>(80)</w:t>
      </w:r>
      <w:r w:rsidRPr="00AB1C80">
        <w:rPr>
          <w:rFonts w:cs="Arial"/>
          <w:color w:val="000000" w:themeColor="text1"/>
          <w:szCs w:val="24"/>
        </w:rPr>
        <w:t xml:space="preserve"> documentos publicados desde el año 2000 hasta el presente año</w:t>
      </w:r>
      <w:r w:rsidR="0077297D" w:rsidRPr="00AB1C80">
        <w:rPr>
          <w:rFonts w:cs="Arial"/>
          <w:color w:val="000000" w:themeColor="text1"/>
          <w:szCs w:val="24"/>
        </w:rPr>
        <w:t xml:space="preserve">, </w:t>
      </w:r>
      <w:r w:rsidR="0077297D" w:rsidRPr="00AB1C80">
        <w:rPr>
          <w:rFonts w:cs="Arial"/>
          <w:i/>
          <w:iCs/>
          <w:color w:val="000000" w:themeColor="text1"/>
          <w:sz w:val="22"/>
        </w:rPr>
        <w:t>(solo tres (3) documentos corresponden a años anteriores)</w:t>
      </w:r>
      <w:r w:rsidRPr="00AB1C80">
        <w:rPr>
          <w:rFonts w:cs="Arial"/>
          <w:color w:val="000000" w:themeColor="text1"/>
          <w:szCs w:val="24"/>
        </w:rPr>
        <w:t xml:space="preserve">, con el fin de evaluar, comparar e interrelacionar información y validar su vigencia para su posterior análisis e interpretación con el fin de decantar propuestas y/o lineamientos con miras a los productos posteriores; de estos, treinta y </w:t>
      </w:r>
      <w:r w:rsidR="00BA025F" w:rsidRPr="00AB1C80">
        <w:rPr>
          <w:rFonts w:cs="Arial"/>
          <w:color w:val="000000" w:themeColor="text1"/>
          <w:szCs w:val="24"/>
        </w:rPr>
        <w:t>seis</w:t>
      </w:r>
      <w:r w:rsidRPr="00AB1C80">
        <w:rPr>
          <w:rFonts w:cs="Arial"/>
          <w:color w:val="000000" w:themeColor="text1"/>
          <w:szCs w:val="24"/>
        </w:rPr>
        <w:t xml:space="preserve"> </w:t>
      </w:r>
      <w:r w:rsidRPr="00AB1C80">
        <w:rPr>
          <w:rFonts w:cs="Arial"/>
          <w:b/>
          <w:bCs/>
          <w:color w:val="000000" w:themeColor="text1"/>
          <w:szCs w:val="24"/>
        </w:rPr>
        <w:t>(3</w:t>
      </w:r>
      <w:r w:rsidR="00BA025F" w:rsidRPr="00AB1C80">
        <w:rPr>
          <w:rFonts w:cs="Arial"/>
          <w:b/>
          <w:bCs/>
          <w:color w:val="000000" w:themeColor="text1"/>
          <w:szCs w:val="24"/>
        </w:rPr>
        <w:t>6</w:t>
      </w:r>
      <w:r w:rsidRPr="00AB1C80">
        <w:rPr>
          <w:rFonts w:cs="Arial"/>
          <w:b/>
          <w:bCs/>
          <w:color w:val="000000" w:themeColor="text1"/>
          <w:szCs w:val="24"/>
        </w:rPr>
        <w:t>)</w:t>
      </w:r>
      <w:r w:rsidRPr="00AB1C80">
        <w:rPr>
          <w:rFonts w:cs="Arial"/>
          <w:color w:val="000000" w:themeColor="text1"/>
          <w:szCs w:val="24"/>
        </w:rPr>
        <w:t xml:space="preserve"> se encuentran relacionados con la temática de gestión y manejo de estériles; de los cuales, diez </w:t>
      </w:r>
      <w:r w:rsidRPr="00AB1C80">
        <w:rPr>
          <w:rFonts w:cs="Arial"/>
          <w:b/>
          <w:bCs/>
          <w:color w:val="000000" w:themeColor="text1"/>
          <w:szCs w:val="24"/>
        </w:rPr>
        <w:t>(10)</w:t>
      </w:r>
      <w:r w:rsidRPr="00AB1C80">
        <w:rPr>
          <w:rFonts w:cs="Arial"/>
          <w:color w:val="000000" w:themeColor="text1"/>
          <w:szCs w:val="24"/>
        </w:rPr>
        <w:t xml:space="preserve"> pertenecen al contexto nacional y </w:t>
      </w:r>
      <w:r w:rsidR="00A54D0A" w:rsidRPr="00AB1C80">
        <w:rPr>
          <w:rFonts w:cs="Arial"/>
          <w:color w:val="000000" w:themeColor="text1"/>
          <w:szCs w:val="24"/>
        </w:rPr>
        <w:t>veintiséis</w:t>
      </w:r>
      <w:r w:rsidRPr="00AB1C80">
        <w:rPr>
          <w:rFonts w:cs="Arial"/>
          <w:color w:val="000000" w:themeColor="text1"/>
          <w:szCs w:val="24"/>
        </w:rPr>
        <w:t xml:space="preserve"> </w:t>
      </w:r>
      <w:r w:rsidRPr="00AB1C80">
        <w:rPr>
          <w:rFonts w:cs="Arial"/>
          <w:b/>
          <w:bCs/>
          <w:color w:val="000000" w:themeColor="text1"/>
          <w:szCs w:val="24"/>
        </w:rPr>
        <w:t>(2</w:t>
      </w:r>
      <w:r w:rsidR="007E3E01" w:rsidRPr="00AB1C80">
        <w:rPr>
          <w:rFonts w:cs="Arial"/>
          <w:b/>
          <w:bCs/>
          <w:color w:val="000000" w:themeColor="text1"/>
          <w:szCs w:val="24"/>
        </w:rPr>
        <w:t>6</w:t>
      </w:r>
      <w:r w:rsidRPr="00AB1C80">
        <w:rPr>
          <w:rFonts w:cs="Arial"/>
          <w:b/>
          <w:bCs/>
          <w:color w:val="000000" w:themeColor="text1"/>
          <w:szCs w:val="24"/>
        </w:rPr>
        <w:t>)</w:t>
      </w:r>
      <w:r w:rsidRPr="00AB1C80">
        <w:rPr>
          <w:rFonts w:cs="Arial"/>
          <w:color w:val="000000" w:themeColor="text1"/>
          <w:szCs w:val="24"/>
        </w:rPr>
        <w:t xml:space="preserve"> al internacional</w:t>
      </w:r>
      <w:r w:rsidR="006064A3" w:rsidRPr="00AB1C80">
        <w:rPr>
          <w:rFonts w:cs="Arial"/>
          <w:color w:val="000000" w:themeColor="text1"/>
          <w:szCs w:val="24"/>
        </w:rPr>
        <w:t>.</w:t>
      </w:r>
    </w:p>
    <w:p w14:paraId="7CF26B85" w14:textId="77777777" w:rsidR="006064A3" w:rsidRPr="00AB1C80" w:rsidRDefault="006064A3" w:rsidP="00AB1C80">
      <w:pPr>
        <w:spacing w:line="276" w:lineRule="auto"/>
        <w:rPr>
          <w:rFonts w:cs="Arial"/>
          <w:color w:val="000000" w:themeColor="text1"/>
          <w:szCs w:val="24"/>
        </w:rPr>
      </w:pPr>
    </w:p>
    <w:p w14:paraId="7B13BFF4" w14:textId="6A49B2CF" w:rsidR="006064A3" w:rsidRPr="00AB1C80" w:rsidRDefault="006064A3" w:rsidP="00AB1C80">
      <w:pPr>
        <w:spacing w:line="276" w:lineRule="auto"/>
        <w:rPr>
          <w:rFonts w:cs="Arial"/>
          <w:color w:val="000000" w:themeColor="text1"/>
          <w:szCs w:val="24"/>
        </w:rPr>
      </w:pPr>
      <w:r w:rsidRPr="00AB1C80">
        <w:rPr>
          <w:rFonts w:cs="Arial"/>
          <w:color w:val="000000" w:themeColor="text1"/>
          <w:szCs w:val="24"/>
        </w:rPr>
        <w:t xml:space="preserve">Para </w:t>
      </w:r>
      <w:r w:rsidR="00BA025F" w:rsidRPr="00AB1C80">
        <w:rPr>
          <w:rFonts w:cs="Arial"/>
          <w:color w:val="000000" w:themeColor="text1"/>
          <w:szCs w:val="24"/>
        </w:rPr>
        <w:t xml:space="preserve">los </w:t>
      </w:r>
      <w:r w:rsidR="00D812C8" w:rsidRPr="00AB1C80">
        <w:rPr>
          <w:rFonts w:cs="Arial"/>
          <w:color w:val="000000" w:themeColor="text1"/>
          <w:szCs w:val="24"/>
        </w:rPr>
        <w:t xml:space="preserve">treinta y </w:t>
      </w:r>
      <w:r w:rsidR="00BA025F" w:rsidRPr="00AB1C80">
        <w:rPr>
          <w:rFonts w:cs="Arial"/>
          <w:color w:val="000000" w:themeColor="text1"/>
          <w:szCs w:val="24"/>
        </w:rPr>
        <w:t>seis</w:t>
      </w:r>
      <w:r w:rsidRPr="00AB1C80">
        <w:rPr>
          <w:rFonts w:cs="Arial"/>
          <w:color w:val="000000" w:themeColor="text1"/>
          <w:szCs w:val="24"/>
        </w:rPr>
        <w:t xml:space="preserve"> </w:t>
      </w:r>
      <w:r w:rsidRPr="00AB1C80">
        <w:rPr>
          <w:rFonts w:cs="Arial"/>
          <w:b/>
          <w:color w:val="000000" w:themeColor="text1"/>
          <w:szCs w:val="24"/>
        </w:rPr>
        <w:t>(</w:t>
      </w:r>
      <w:r w:rsidR="00D812C8" w:rsidRPr="00AB1C80">
        <w:rPr>
          <w:rFonts w:cs="Arial"/>
          <w:b/>
          <w:color w:val="000000" w:themeColor="text1"/>
          <w:szCs w:val="24"/>
        </w:rPr>
        <w:t>3</w:t>
      </w:r>
      <w:r w:rsidR="00BA025F" w:rsidRPr="00AB1C80">
        <w:rPr>
          <w:rFonts w:cs="Arial"/>
          <w:b/>
          <w:color w:val="000000" w:themeColor="text1"/>
          <w:szCs w:val="24"/>
        </w:rPr>
        <w:t>6</w:t>
      </w:r>
      <w:r w:rsidRPr="00AB1C80">
        <w:rPr>
          <w:rFonts w:cs="Arial"/>
          <w:b/>
          <w:color w:val="000000" w:themeColor="text1"/>
          <w:szCs w:val="24"/>
        </w:rPr>
        <w:t xml:space="preserve">) </w:t>
      </w:r>
      <w:r w:rsidRPr="00AB1C80">
        <w:rPr>
          <w:rFonts w:cs="Arial"/>
          <w:color w:val="000000" w:themeColor="text1"/>
          <w:szCs w:val="24"/>
        </w:rPr>
        <w:t xml:space="preserve">documentos, se diligencio el formato de recolección de información: </w:t>
      </w:r>
      <w:r w:rsidR="00D15CB3" w:rsidRPr="00AB1C80">
        <w:rPr>
          <w:rFonts w:cs="Arial"/>
          <w:b/>
          <w:bCs/>
          <w:color w:val="000000" w:themeColor="text1"/>
          <w:szCs w:val="24"/>
        </w:rPr>
        <w:t>Argentina</w:t>
      </w:r>
      <w:r w:rsidR="00D15CB3" w:rsidRPr="00AB1C80">
        <w:rPr>
          <w:rFonts w:cs="Arial"/>
          <w:color w:val="000000" w:themeColor="text1"/>
          <w:szCs w:val="24"/>
        </w:rPr>
        <w:t xml:space="preserve"> tres </w:t>
      </w:r>
      <w:r w:rsidR="00D15CB3" w:rsidRPr="00AB1C80">
        <w:rPr>
          <w:rFonts w:cs="Arial"/>
          <w:b/>
          <w:bCs/>
          <w:color w:val="000000" w:themeColor="text1"/>
          <w:szCs w:val="24"/>
        </w:rPr>
        <w:t>(3)</w:t>
      </w:r>
      <w:r w:rsidR="00D15CB3" w:rsidRPr="00AB1C80">
        <w:rPr>
          <w:rFonts w:cs="Arial"/>
          <w:color w:val="000000" w:themeColor="text1"/>
          <w:szCs w:val="24"/>
        </w:rPr>
        <w:t xml:space="preserve">; </w:t>
      </w:r>
      <w:r w:rsidR="00D15CB3" w:rsidRPr="00AB1C80">
        <w:rPr>
          <w:rFonts w:cs="Arial"/>
          <w:b/>
          <w:bCs/>
          <w:color w:val="000000" w:themeColor="text1"/>
          <w:szCs w:val="24"/>
        </w:rPr>
        <w:t>Australia</w:t>
      </w:r>
      <w:r w:rsidR="00D15CB3" w:rsidRPr="00AB1C80">
        <w:rPr>
          <w:rFonts w:cs="Arial"/>
          <w:color w:val="000000" w:themeColor="text1"/>
          <w:szCs w:val="24"/>
        </w:rPr>
        <w:t xml:space="preserve"> uno </w:t>
      </w:r>
      <w:r w:rsidR="00D15CB3" w:rsidRPr="00AB1C80">
        <w:rPr>
          <w:rFonts w:cs="Arial"/>
          <w:b/>
          <w:bCs/>
          <w:color w:val="000000" w:themeColor="text1"/>
          <w:szCs w:val="24"/>
        </w:rPr>
        <w:t>(1)</w:t>
      </w:r>
      <w:r w:rsidR="00D15CB3" w:rsidRPr="00AB1C80">
        <w:rPr>
          <w:rFonts w:cs="Arial"/>
          <w:color w:val="000000" w:themeColor="text1"/>
          <w:szCs w:val="24"/>
        </w:rPr>
        <w:t xml:space="preserve">; </w:t>
      </w:r>
      <w:r w:rsidR="00D15CB3" w:rsidRPr="00AB1C80">
        <w:rPr>
          <w:rFonts w:cs="Arial"/>
          <w:b/>
          <w:bCs/>
          <w:color w:val="000000" w:themeColor="text1"/>
          <w:szCs w:val="24"/>
        </w:rPr>
        <w:t>Brasil</w:t>
      </w:r>
      <w:r w:rsidR="00D15CB3" w:rsidRPr="00AB1C80">
        <w:rPr>
          <w:rFonts w:cs="Arial"/>
          <w:color w:val="000000" w:themeColor="text1"/>
          <w:szCs w:val="24"/>
        </w:rPr>
        <w:t xml:space="preserve"> uno </w:t>
      </w:r>
      <w:r w:rsidR="00D15CB3" w:rsidRPr="00AB1C80">
        <w:rPr>
          <w:rFonts w:cs="Arial"/>
          <w:b/>
          <w:bCs/>
          <w:color w:val="000000" w:themeColor="text1"/>
          <w:szCs w:val="24"/>
        </w:rPr>
        <w:t>(1)</w:t>
      </w:r>
      <w:r w:rsidR="00D15CB3" w:rsidRPr="00AB1C80">
        <w:rPr>
          <w:rFonts w:cs="Arial"/>
          <w:color w:val="000000" w:themeColor="text1"/>
          <w:szCs w:val="24"/>
        </w:rPr>
        <w:t xml:space="preserve">; </w:t>
      </w:r>
      <w:r w:rsidR="00D15CB3" w:rsidRPr="00AB1C80">
        <w:rPr>
          <w:rFonts w:cs="Arial"/>
          <w:b/>
          <w:bCs/>
          <w:color w:val="000000" w:themeColor="text1"/>
          <w:szCs w:val="24"/>
        </w:rPr>
        <w:t>Canadá</w:t>
      </w:r>
      <w:r w:rsidR="00D15CB3" w:rsidRPr="00AB1C80">
        <w:rPr>
          <w:rFonts w:cs="Arial"/>
          <w:color w:val="000000" w:themeColor="text1"/>
          <w:szCs w:val="24"/>
        </w:rPr>
        <w:t xml:space="preserve"> uno </w:t>
      </w:r>
      <w:r w:rsidR="00D15CB3" w:rsidRPr="00AB1C80">
        <w:rPr>
          <w:rFonts w:cs="Arial"/>
          <w:b/>
          <w:bCs/>
          <w:color w:val="000000" w:themeColor="text1"/>
          <w:szCs w:val="24"/>
        </w:rPr>
        <w:t>(1)</w:t>
      </w:r>
      <w:r w:rsidR="00D15CB3" w:rsidRPr="00AB1C80">
        <w:rPr>
          <w:rFonts w:cs="Arial"/>
          <w:color w:val="000000" w:themeColor="text1"/>
          <w:szCs w:val="24"/>
        </w:rPr>
        <w:t xml:space="preserve">; </w:t>
      </w:r>
      <w:r w:rsidR="00D15CB3" w:rsidRPr="00AB1C80">
        <w:rPr>
          <w:rFonts w:cs="Arial"/>
          <w:b/>
          <w:bCs/>
          <w:color w:val="000000" w:themeColor="text1"/>
          <w:szCs w:val="24"/>
        </w:rPr>
        <w:t>Chile</w:t>
      </w:r>
      <w:r w:rsidR="00D15CB3" w:rsidRPr="00AB1C80">
        <w:rPr>
          <w:rFonts w:cs="Arial"/>
          <w:color w:val="000000" w:themeColor="text1"/>
          <w:szCs w:val="24"/>
        </w:rPr>
        <w:t xml:space="preserve"> </w:t>
      </w:r>
      <w:r w:rsidR="00BA025F" w:rsidRPr="00AB1C80">
        <w:rPr>
          <w:rFonts w:cs="Arial"/>
          <w:color w:val="000000" w:themeColor="text1"/>
          <w:szCs w:val="24"/>
        </w:rPr>
        <w:t>ocho</w:t>
      </w:r>
      <w:r w:rsidR="00D15CB3" w:rsidRPr="00AB1C80">
        <w:rPr>
          <w:rFonts w:cs="Arial"/>
          <w:color w:val="000000" w:themeColor="text1"/>
          <w:szCs w:val="24"/>
        </w:rPr>
        <w:t xml:space="preserve"> </w:t>
      </w:r>
      <w:r w:rsidR="00D15CB3" w:rsidRPr="00AB1C80">
        <w:rPr>
          <w:rFonts w:cs="Arial"/>
          <w:b/>
          <w:bCs/>
          <w:color w:val="000000" w:themeColor="text1"/>
          <w:szCs w:val="24"/>
        </w:rPr>
        <w:t>(</w:t>
      </w:r>
      <w:r w:rsidR="00BA025F" w:rsidRPr="00AB1C80">
        <w:rPr>
          <w:rFonts w:cs="Arial"/>
          <w:b/>
          <w:bCs/>
          <w:color w:val="000000" w:themeColor="text1"/>
          <w:szCs w:val="24"/>
        </w:rPr>
        <w:t>8</w:t>
      </w:r>
      <w:r w:rsidR="00D15CB3" w:rsidRPr="00AB1C80">
        <w:rPr>
          <w:rFonts w:cs="Arial"/>
          <w:b/>
          <w:bCs/>
          <w:color w:val="000000" w:themeColor="text1"/>
          <w:szCs w:val="24"/>
        </w:rPr>
        <w:t>)</w:t>
      </w:r>
      <w:r w:rsidR="00D15CB3" w:rsidRPr="00AB1C80">
        <w:rPr>
          <w:rFonts w:cs="Arial"/>
          <w:color w:val="000000" w:themeColor="text1"/>
          <w:szCs w:val="24"/>
        </w:rPr>
        <w:t xml:space="preserve">; </w:t>
      </w:r>
      <w:r w:rsidR="00D15CB3" w:rsidRPr="00AB1C80">
        <w:rPr>
          <w:rFonts w:cs="Arial"/>
          <w:b/>
          <w:bCs/>
          <w:color w:val="000000" w:themeColor="text1"/>
          <w:szCs w:val="24"/>
        </w:rPr>
        <w:t>Colombia</w:t>
      </w:r>
      <w:r w:rsidR="00D15CB3" w:rsidRPr="00AB1C80">
        <w:rPr>
          <w:rFonts w:cs="Arial"/>
          <w:color w:val="000000" w:themeColor="text1"/>
          <w:szCs w:val="24"/>
        </w:rPr>
        <w:t xml:space="preserve"> </w:t>
      </w:r>
      <w:r w:rsidR="00C72921" w:rsidRPr="00AB1C80">
        <w:rPr>
          <w:rFonts w:cs="Arial"/>
          <w:color w:val="000000" w:themeColor="text1"/>
          <w:szCs w:val="24"/>
        </w:rPr>
        <w:t>diez</w:t>
      </w:r>
      <w:r w:rsidR="00D15CB3" w:rsidRPr="00AB1C80">
        <w:rPr>
          <w:rFonts w:cs="Arial"/>
          <w:color w:val="000000" w:themeColor="text1"/>
          <w:szCs w:val="24"/>
        </w:rPr>
        <w:t xml:space="preserve"> </w:t>
      </w:r>
      <w:r w:rsidR="00D15CB3" w:rsidRPr="00AB1C80">
        <w:rPr>
          <w:rFonts w:cs="Arial"/>
          <w:b/>
          <w:bCs/>
          <w:color w:val="000000" w:themeColor="text1"/>
          <w:szCs w:val="24"/>
        </w:rPr>
        <w:t>(</w:t>
      </w:r>
      <w:r w:rsidR="00C72921" w:rsidRPr="00AB1C80">
        <w:rPr>
          <w:rFonts w:cs="Arial"/>
          <w:b/>
          <w:bCs/>
          <w:color w:val="000000" w:themeColor="text1"/>
          <w:szCs w:val="24"/>
        </w:rPr>
        <w:t>10</w:t>
      </w:r>
      <w:r w:rsidR="00D15CB3" w:rsidRPr="00AB1C80">
        <w:rPr>
          <w:rFonts w:cs="Arial"/>
          <w:b/>
          <w:bCs/>
          <w:color w:val="000000" w:themeColor="text1"/>
          <w:szCs w:val="24"/>
        </w:rPr>
        <w:t>)</w:t>
      </w:r>
      <w:r w:rsidR="00D15CB3" w:rsidRPr="00AB1C80">
        <w:rPr>
          <w:rFonts w:cs="Arial"/>
          <w:color w:val="000000" w:themeColor="text1"/>
          <w:szCs w:val="24"/>
        </w:rPr>
        <w:t xml:space="preserve">; </w:t>
      </w:r>
      <w:r w:rsidR="00D15CB3" w:rsidRPr="00AB1C80">
        <w:rPr>
          <w:rFonts w:cs="Arial"/>
          <w:b/>
          <w:bCs/>
          <w:color w:val="000000" w:themeColor="text1"/>
          <w:szCs w:val="24"/>
        </w:rPr>
        <w:t>Comisión Europea</w:t>
      </w:r>
      <w:r w:rsidR="00D15CB3" w:rsidRPr="00AB1C80">
        <w:rPr>
          <w:rFonts w:cs="Arial"/>
          <w:color w:val="000000" w:themeColor="text1"/>
          <w:szCs w:val="24"/>
        </w:rPr>
        <w:t xml:space="preserve"> dos </w:t>
      </w:r>
      <w:r w:rsidR="00D15CB3" w:rsidRPr="00AB1C80">
        <w:rPr>
          <w:rFonts w:cs="Arial"/>
          <w:b/>
          <w:bCs/>
          <w:color w:val="000000" w:themeColor="text1"/>
          <w:szCs w:val="24"/>
        </w:rPr>
        <w:t>(2)</w:t>
      </w:r>
      <w:r w:rsidR="00D15CB3" w:rsidRPr="00AB1C80">
        <w:rPr>
          <w:rFonts w:cs="Arial"/>
          <w:color w:val="000000" w:themeColor="text1"/>
          <w:szCs w:val="24"/>
        </w:rPr>
        <w:t xml:space="preserve">; </w:t>
      </w:r>
      <w:r w:rsidR="00D15CB3" w:rsidRPr="00AB1C80">
        <w:rPr>
          <w:rFonts w:cs="Arial"/>
          <w:b/>
          <w:bCs/>
          <w:color w:val="000000" w:themeColor="text1"/>
          <w:szCs w:val="24"/>
        </w:rPr>
        <w:t>España</w:t>
      </w:r>
      <w:r w:rsidR="00D15CB3" w:rsidRPr="00AB1C80">
        <w:rPr>
          <w:rFonts w:cs="Arial"/>
          <w:color w:val="000000" w:themeColor="text1"/>
          <w:szCs w:val="24"/>
        </w:rPr>
        <w:t xml:space="preserve"> seis </w:t>
      </w:r>
      <w:r w:rsidR="00D15CB3" w:rsidRPr="00AB1C80">
        <w:rPr>
          <w:rFonts w:cs="Arial"/>
          <w:b/>
          <w:bCs/>
          <w:color w:val="000000" w:themeColor="text1"/>
          <w:szCs w:val="24"/>
        </w:rPr>
        <w:t>(6)</w:t>
      </w:r>
      <w:r w:rsidR="00D15CB3" w:rsidRPr="00AB1C80">
        <w:rPr>
          <w:rFonts w:cs="Arial"/>
          <w:color w:val="000000" w:themeColor="text1"/>
          <w:szCs w:val="24"/>
        </w:rPr>
        <w:t xml:space="preserve">; </w:t>
      </w:r>
      <w:r w:rsidR="00D15CB3" w:rsidRPr="00AB1C80">
        <w:rPr>
          <w:rFonts w:cs="Arial"/>
          <w:b/>
          <w:bCs/>
          <w:color w:val="000000" w:themeColor="text1"/>
          <w:szCs w:val="24"/>
        </w:rPr>
        <w:t>Perú</w:t>
      </w:r>
      <w:r w:rsidR="00D15CB3" w:rsidRPr="00AB1C80">
        <w:rPr>
          <w:rFonts w:cs="Arial"/>
          <w:color w:val="000000" w:themeColor="text1"/>
          <w:szCs w:val="24"/>
        </w:rPr>
        <w:t xml:space="preserve"> tres </w:t>
      </w:r>
      <w:r w:rsidR="00D15CB3" w:rsidRPr="00AB1C80">
        <w:rPr>
          <w:rFonts w:cs="Arial"/>
          <w:b/>
          <w:bCs/>
          <w:color w:val="000000" w:themeColor="text1"/>
          <w:szCs w:val="24"/>
        </w:rPr>
        <w:t>(3)</w:t>
      </w:r>
      <w:r w:rsidR="00D15CB3" w:rsidRPr="00AB1C80">
        <w:rPr>
          <w:rFonts w:cs="Arial"/>
          <w:color w:val="000000" w:themeColor="text1"/>
          <w:szCs w:val="24"/>
        </w:rPr>
        <w:t xml:space="preserve"> y </w:t>
      </w:r>
      <w:r w:rsidR="00D15CB3" w:rsidRPr="00AB1C80">
        <w:rPr>
          <w:rFonts w:cs="Arial"/>
          <w:b/>
          <w:bCs/>
          <w:color w:val="000000" w:themeColor="text1"/>
          <w:szCs w:val="24"/>
        </w:rPr>
        <w:t>Reino Unido</w:t>
      </w:r>
      <w:r w:rsidR="00D15CB3" w:rsidRPr="00AB1C80">
        <w:rPr>
          <w:rFonts w:cs="Arial"/>
          <w:color w:val="000000" w:themeColor="text1"/>
          <w:szCs w:val="24"/>
        </w:rPr>
        <w:t xml:space="preserve"> uno </w:t>
      </w:r>
      <w:r w:rsidR="00D15CB3" w:rsidRPr="00AB1C80">
        <w:rPr>
          <w:rFonts w:cs="Arial"/>
          <w:b/>
          <w:bCs/>
          <w:color w:val="000000" w:themeColor="text1"/>
          <w:szCs w:val="24"/>
        </w:rPr>
        <w:t>(1)</w:t>
      </w:r>
      <w:r w:rsidRPr="00AB1C80">
        <w:rPr>
          <w:rFonts w:cs="Arial"/>
          <w:color w:val="000000" w:themeColor="text1"/>
          <w:szCs w:val="24"/>
        </w:rPr>
        <w:t>, (ver</w:t>
      </w:r>
      <w:r w:rsidRPr="00AB1C80">
        <w:rPr>
          <w:rFonts w:cs="Arial"/>
          <w:b/>
          <w:color w:val="000000" w:themeColor="text1"/>
          <w:szCs w:val="24"/>
        </w:rPr>
        <w:t xml:space="preserve"> </w:t>
      </w:r>
      <w:r w:rsidRPr="00AB1C80">
        <w:rPr>
          <w:rFonts w:cs="Arial"/>
          <w:b/>
          <w:color w:val="000000" w:themeColor="text1"/>
          <w:szCs w:val="24"/>
        </w:rPr>
        <w:fldChar w:fldCharType="begin"/>
      </w:r>
      <w:r w:rsidRPr="00AB1C80">
        <w:rPr>
          <w:rFonts w:cs="Arial"/>
          <w:b/>
          <w:color w:val="000000" w:themeColor="text1"/>
          <w:szCs w:val="24"/>
        </w:rPr>
        <w:instrText xml:space="preserve"> REF _Ref55305367 \h  \* MERGEFORMAT </w:instrText>
      </w:r>
      <w:r w:rsidRPr="00AB1C80">
        <w:rPr>
          <w:rFonts w:cs="Arial"/>
          <w:b/>
          <w:color w:val="000000" w:themeColor="text1"/>
          <w:szCs w:val="24"/>
        </w:rPr>
      </w:r>
      <w:r w:rsidRPr="00AB1C80">
        <w:rPr>
          <w:rFonts w:cs="Arial"/>
          <w:b/>
          <w:color w:val="000000" w:themeColor="text1"/>
          <w:szCs w:val="24"/>
        </w:rPr>
        <w:fldChar w:fldCharType="separate"/>
      </w:r>
      <w:r w:rsidR="00AB1C80" w:rsidRPr="00AB1C80">
        <w:rPr>
          <w:rFonts w:cs="Arial"/>
          <w:b/>
          <w:color w:val="000000" w:themeColor="text1"/>
          <w:szCs w:val="24"/>
        </w:rPr>
        <w:t>Figura 5</w:t>
      </w:r>
      <w:r w:rsidRPr="00AB1C80">
        <w:rPr>
          <w:rFonts w:cs="Arial"/>
          <w:b/>
          <w:color w:val="000000" w:themeColor="text1"/>
          <w:szCs w:val="24"/>
        </w:rPr>
        <w:fldChar w:fldCharType="end"/>
      </w:r>
      <w:r w:rsidRPr="00AB1C80">
        <w:rPr>
          <w:rFonts w:cs="Arial"/>
          <w:color w:val="000000" w:themeColor="text1"/>
          <w:szCs w:val="24"/>
        </w:rPr>
        <w:t>).</w:t>
      </w:r>
    </w:p>
    <w:p w14:paraId="3FB7F08C" w14:textId="1F1CFC3E" w:rsidR="006064A3" w:rsidRPr="00AB1C80" w:rsidRDefault="006064A3" w:rsidP="00AB1C80">
      <w:pPr>
        <w:spacing w:line="276" w:lineRule="auto"/>
        <w:rPr>
          <w:rFonts w:cs="Arial"/>
          <w:color w:val="000000" w:themeColor="text1"/>
          <w:szCs w:val="24"/>
        </w:rPr>
      </w:pPr>
    </w:p>
    <w:p w14:paraId="36059384" w14:textId="79324512" w:rsidR="00BA025F" w:rsidRPr="00AB1C80" w:rsidRDefault="00BA025F" w:rsidP="00AB1C80">
      <w:pPr>
        <w:spacing w:line="276" w:lineRule="auto"/>
        <w:rPr>
          <w:rFonts w:cs="Arial"/>
          <w:color w:val="000000" w:themeColor="text1"/>
          <w:szCs w:val="24"/>
        </w:rPr>
      </w:pPr>
      <w:r w:rsidRPr="00AB1C80">
        <w:rPr>
          <w:rFonts w:cs="Arial"/>
          <w:noProof/>
        </w:rPr>
        <w:drawing>
          <wp:inline distT="0" distB="0" distL="0" distR="0" wp14:anchorId="1890BD00" wp14:editId="3C1A8491">
            <wp:extent cx="5305425" cy="2800350"/>
            <wp:effectExtent l="19050" t="19050" r="28575" b="19050"/>
            <wp:docPr id="4" name="Imagen 4"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 Gráfico de barras&#10;&#10;Descripción generada automáticamente"/>
                    <pic:cNvPicPr/>
                  </pic:nvPicPr>
                  <pic:blipFill>
                    <a:blip r:embed="rId12"/>
                    <a:stretch>
                      <a:fillRect/>
                    </a:stretch>
                  </pic:blipFill>
                  <pic:spPr>
                    <a:xfrm>
                      <a:off x="0" y="0"/>
                      <a:ext cx="5305425" cy="2800350"/>
                    </a:xfrm>
                    <a:prstGeom prst="rect">
                      <a:avLst/>
                    </a:prstGeom>
                    <a:ln w="19050">
                      <a:solidFill>
                        <a:schemeClr val="accent5">
                          <a:lumMod val="50000"/>
                        </a:schemeClr>
                      </a:solidFill>
                    </a:ln>
                  </pic:spPr>
                </pic:pic>
              </a:graphicData>
            </a:graphic>
          </wp:inline>
        </w:drawing>
      </w:r>
    </w:p>
    <w:p w14:paraId="5E5A2626" w14:textId="4118F9E3" w:rsidR="006064A3" w:rsidRPr="00AB1C80" w:rsidRDefault="006064A3" w:rsidP="00AB1C80">
      <w:pPr>
        <w:pStyle w:val="FigurayTabla"/>
        <w:spacing w:line="276" w:lineRule="auto"/>
        <w:rPr>
          <w:rFonts w:cs="Arial"/>
          <w:lang w:val="es-CO"/>
        </w:rPr>
      </w:pPr>
      <w:bookmarkStart w:id="41" w:name="_Ref55305367"/>
      <w:bookmarkStart w:id="42" w:name="_Toc57372258"/>
      <w:bookmarkStart w:id="43" w:name="_Toc86333002"/>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5</w:t>
      </w:r>
      <w:r w:rsidRPr="00AB1C80">
        <w:rPr>
          <w:rFonts w:cs="Arial"/>
          <w:lang w:val="es-CO"/>
        </w:rPr>
        <w:fldChar w:fldCharType="end"/>
      </w:r>
      <w:bookmarkEnd w:id="41"/>
      <w:r w:rsidRPr="00AB1C80">
        <w:rPr>
          <w:rFonts w:cs="Arial"/>
          <w:lang w:val="es-CO"/>
        </w:rPr>
        <w:t xml:space="preserve">. Información analizada a nivel global sobre </w:t>
      </w:r>
      <w:r w:rsidR="004C7504" w:rsidRPr="00AB1C80">
        <w:rPr>
          <w:rFonts w:cs="Arial"/>
          <w:lang w:val="es-CO"/>
        </w:rPr>
        <w:t>gestión y manejo de estériles</w:t>
      </w:r>
      <w:r w:rsidRPr="00AB1C80">
        <w:rPr>
          <w:rFonts w:cs="Arial"/>
          <w:lang w:val="es-CO"/>
        </w:rPr>
        <w:t>.</w:t>
      </w:r>
      <w:bookmarkEnd w:id="42"/>
      <w:bookmarkEnd w:id="43"/>
    </w:p>
    <w:p w14:paraId="43765FCA" w14:textId="67691FC4" w:rsidR="006064A3" w:rsidRPr="00AB1C80" w:rsidRDefault="006064A3" w:rsidP="00AB1C80">
      <w:pPr>
        <w:pStyle w:val="Fuente"/>
        <w:spacing w:line="276" w:lineRule="auto"/>
        <w:rPr>
          <w:rFonts w:cs="Arial"/>
          <w:lang w:val="es-CO"/>
        </w:rPr>
      </w:pPr>
      <w:r w:rsidRPr="00AB1C80">
        <w:rPr>
          <w:rFonts w:cs="Arial"/>
          <w:lang w:val="es-CO"/>
        </w:rPr>
        <w:t>Fuente: ATG Ltda., 202</w:t>
      </w:r>
      <w:r w:rsidR="004C7504" w:rsidRPr="00AB1C80">
        <w:rPr>
          <w:rFonts w:cs="Arial"/>
          <w:lang w:val="es-CO"/>
        </w:rPr>
        <w:t>1</w:t>
      </w:r>
      <w:r w:rsidRPr="00AB1C80">
        <w:rPr>
          <w:rFonts w:cs="Arial"/>
          <w:lang w:val="es-CO"/>
        </w:rPr>
        <w:t>.</w:t>
      </w:r>
    </w:p>
    <w:p w14:paraId="2F459603" w14:textId="77777777" w:rsidR="006064A3" w:rsidRPr="00AB1C80" w:rsidRDefault="006064A3" w:rsidP="00AB1C80">
      <w:pPr>
        <w:spacing w:line="276" w:lineRule="auto"/>
        <w:jc w:val="center"/>
        <w:rPr>
          <w:rFonts w:cs="Arial"/>
          <w:b/>
          <w:i/>
          <w:color w:val="000000" w:themeColor="text1"/>
          <w:szCs w:val="24"/>
        </w:rPr>
      </w:pPr>
    </w:p>
    <w:p w14:paraId="1B98AB76" w14:textId="0EF437F9" w:rsidR="006064A3" w:rsidRPr="00AB1C80" w:rsidRDefault="006064A3" w:rsidP="00AB1C80">
      <w:pPr>
        <w:spacing w:line="276" w:lineRule="auto"/>
        <w:rPr>
          <w:rFonts w:cs="Arial"/>
          <w:color w:val="000000" w:themeColor="text1"/>
          <w:szCs w:val="24"/>
        </w:rPr>
      </w:pPr>
      <w:r w:rsidRPr="00AB1C80">
        <w:rPr>
          <w:rFonts w:cs="Arial"/>
          <w:color w:val="000000" w:themeColor="text1"/>
          <w:szCs w:val="24"/>
        </w:rPr>
        <w:t>Como resultado de la elaboración de los formatos de recolección de información se logró identificar información de los documentos correspondiente a las temáticas de interés para el desarrollo de la consultoría, necesaria para la construcción y elaboración de los lineamientos</w:t>
      </w:r>
      <w:r w:rsidR="00AB2AD3" w:rsidRPr="00AB1C80">
        <w:rPr>
          <w:rFonts w:cs="Arial"/>
          <w:color w:val="000000" w:themeColor="text1"/>
          <w:szCs w:val="24"/>
        </w:rPr>
        <w:t xml:space="preserve">, tales como definiciones, parámetros de diseño, </w:t>
      </w:r>
      <w:r w:rsidR="00AB2AD3" w:rsidRPr="00AB1C80">
        <w:rPr>
          <w:rFonts w:cs="Arial"/>
          <w:color w:val="000000" w:themeColor="text1"/>
          <w:szCs w:val="24"/>
        </w:rPr>
        <w:lastRenderedPageBreak/>
        <w:t>forma de llenado del acopio, normatividad, criterios de aceptabilidad y análisis de estabilidad y riesgo</w:t>
      </w:r>
      <w:r w:rsidRPr="00AB1C80">
        <w:rPr>
          <w:rFonts w:cs="Arial"/>
          <w:color w:val="000000" w:themeColor="text1"/>
          <w:szCs w:val="24"/>
        </w:rPr>
        <w:t xml:space="preserve">. </w:t>
      </w:r>
    </w:p>
    <w:p w14:paraId="4AF69473" w14:textId="77777777" w:rsidR="006064A3" w:rsidRPr="00AB1C80" w:rsidRDefault="006064A3" w:rsidP="00AB1C80">
      <w:pPr>
        <w:spacing w:line="276" w:lineRule="auto"/>
        <w:rPr>
          <w:rFonts w:cs="Arial"/>
          <w:color w:val="000000" w:themeColor="text1"/>
          <w:szCs w:val="24"/>
        </w:rPr>
      </w:pPr>
    </w:p>
    <w:p w14:paraId="0D21A52D" w14:textId="006BEBDF" w:rsidR="00A77D7E" w:rsidRPr="00AB1C80" w:rsidRDefault="00A77D7E" w:rsidP="00AB1C80">
      <w:pPr>
        <w:pStyle w:val="Ttulo3"/>
        <w:spacing w:line="276" w:lineRule="auto"/>
        <w:rPr>
          <w:rFonts w:cs="Arial"/>
        </w:rPr>
      </w:pPr>
      <w:bookmarkStart w:id="44" w:name="_Toc56544151"/>
      <w:bookmarkStart w:id="45" w:name="_Toc86332921"/>
      <w:r w:rsidRPr="00AB1C80">
        <w:rPr>
          <w:rFonts w:cs="Arial"/>
        </w:rPr>
        <w:t>Temática nacional</w:t>
      </w:r>
      <w:bookmarkEnd w:id="44"/>
      <w:bookmarkEnd w:id="45"/>
    </w:p>
    <w:p w14:paraId="474488CD" w14:textId="05130BB1" w:rsidR="00B45A4F" w:rsidRPr="00AB1C80" w:rsidRDefault="00B45A4F" w:rsidP="00AB1C80">
      <w:pPr>
        <w:spacing w:line="276" w:lineRule="auto"/>
        <w:rPr>
          <w:rFonts w:cs="Arial"/>
          <w:color w:val="000000" w:themeColor="text1"/>
        </w:rPr>
      </w:pPr>
    </w:p>
    <w:p w14:paraId="5101F919" w14:textId="37327E17" w:rsidR="007D185F" w:rsidRPr="00AB1C80" w:rsidRDefault="0085440C" w:rsidP="00AB1C80">
      <w:pPr>
        <w:spacing w:line="276" w:lineRule="auto"/>
        <w:rPr>
          <w:rFonts w:cs="Arial"/>
          <w:color w:val="000000" w:themeColor="text1"/>
          <w:szCs w:val="24"/>
        </w:rPr>
      </w:pPr>
      <w:r w:rsidRPr="00AB1C80">
        <w:rPr>
          <w:rFonts w:cs="Arial"/>
          <w:color w:val="000000" w:themeColor="text1"/>
          <w:szCs w:val="24"/>
        </w:rPr>
        <w:t xml:space="preserve">En el proceso de recopilación y análisis de información para la construcción de la propuesta de lineamientos técnicos de política de buenas prácticas para estandarizar los procesos de la actividad minera relacionados con </w:t>
      </w:r>
      <w:r w:rsidR="007D185F" w:rsidRPr="00AB1C80">
        <w:rPr>
          <w:rFonts w:cs="Arial"/>
          <w:color w:val="000000" w:themeColor="text1"/>
          <w:szCs w:val="24"/>
        </w:rPr>
        <w:t>gestión y manejo de estériles</w:t>
      </w:r>
      <w:r w:rsidRPr="00AB1C80">
        <w:rPr>
          <w:rFonts w:cs="Arial"/>
          <w:color w:val="000000" w:themeColor="text1"/>
          <w:szCs w:val="24"/>
        </w:rPr>
        <w:t xml:space="preserve">, se realizó la revisión de </w:t>
      </w:r>
      <w:r w:rsidR="007D185F" w:rsidRPr="00AB1C80">
        <w:rPr>
          <w:rFonts w:cs="Arial"/>
          <w:color w:val="000000" w:themeColor="text1"/>
          <w:szCs w:val="24"/>
        </w:rPr>
        <w:t>diez</w:t>
      </w:r>
      <w:r w:rsidRPr="00AB1C80">
        <w:rPr>
          <w:rFonts w:cs="Arial"/>
          <w:color w:val="000000" w:themeColor="text1"/>
          <w:szCs w:val="24"/>
        </w:rPr>
        <w:t xml:space="preserve"> </w:t>
      </w:r>
      <w:r w:rsidRPr="00AB1C80">
        <w:rPr>
          <w:rFonts w:cs="Arial"/>
          <w:b/>
          <w:color w:val="000000" w:themeColor="text1"/>
          <w:szCs w:val="24"/>
        </w:rPr>
        <w:t>(1</w:t>
      </w:r>
      <w:r w:rsidR="007D185F" w:rsidRPr="00AB1C80">
        <w:rPr>
          <w:rFonts w:cs="Arial"/>
          <w:b/>
          <w:color w:val="000000" w:themeColor="text1"/>
          <w:szCs w:val="24"/>
        </w:rPr>
        <w:t>0</w:t>
      </w:r>
      <w:r w:rsidRPr="00AB1C80">
        <w:rPr>
          <w:rFonts w:cs="Arial"/>
          <w:b/>
          <w:color w:val="000000" w:themeColor="text1"/>
          <w:szCs w:val="24"/>
        </w:rPr>
        <w:t>)</w:t>
      </w:r>
      <w:r w:rsidRPr="00AB1C80">
        <w:rPr>
          <w:rFonts w:cs="Arial"/>
          <w:color w:val="000000" w:themeColor="text1"/>
          <w:szCs w:val="24"/>
        </w:rPr>
        <w:t xml:space="preserve"> documentos del contexto nacional, </w:t>
      </w:r>
      <w:r w:rsidR="00F93769" w:rsidRPr="00AB1C80">
        <w:rPr>
          <w:rFonts w:cs="Arial"/>
          <w:color w:val="000000" w:themeColor="text1"/>
          <w:szCs w:val="24"/>
        </w:rPr>
        <w:t xml:space="preserve">publicados entre los años 2001 y 2020 siendo la mayoría de la última década, estos </w:t>
      </w:r>
      <w:r w:rsidRPr="00AB1C80">
        <w:rPr>
          <w:rFonts w:cs="Arial"/>
          <w:color w:val="000000" w:themeColor="text1"/>
          <w:szCs w:val="24"/>
        </w:rPr>
        <w:t>correspond</w:t>
      </w:r>
      <w:r w:rsidR="00F93769" w:rsidRPr="00AB1C80">
        <w:rPr>
          <w:rFonts w:cs="Arial"/>
          <w:color w:val="000000" w:themeColor="text1"/>
          <w:szCs w:val="24"/>
        </w:rPr>
        <w:t>en</w:t>
      </w:r>
      <w:r w:rsidRPr="00AB1C80">
        <w:rPr>
          <w:rFonts w:cs="Arial"/>
          <w:color w:val="000000" w:themeColor="text1"/>
          <w:szCs w:val="24"/>
        </w:rPr>
        <w:t xml:space="preserve"> a documentos oficiales, guías técnicas, documentos técnicos, estudios normativos, tesis, artículos, presentaciones y otros, generados por instituciones académicas, empresas mineras y el estado colombiano. </w:t>
      </w:r>
    </w:p>
    <w:p w14:paraId="3EA17777" w14:textId="77777777" w:rsidR="007D185F" w:rsidRPr="00AB1C80" w:rsidRDefault="007D185F" w:rsidP="00AB1C80">
      <w:pPr>
        <w:spacing w:line="276" w:lineRule="auto"/>
        <w:rPr>
          <w:rFonts w:cs="Arial"/>
          <w:color w:val="000000" w:themeColor="text1"/>
          <w:szCs w:val="24"/>
        </w:rPr>
      </w:pPr>
    </w:p>
    <w:p w14:paraId="3D09A8A1" w14:textId="1B48F77F" w:rsidR="0085440C" w:rsidRPr="00AB1C80" w:rsidRDefault="007D3026" w:rsidP="00AB1C80">
      <w:pPr>
        <w:spacing w:line="276" w:lineRule="auto"/>
        <w:rPr>
          <w:rFonts w:cs="Arial"/>
          <w:color w:val="000000" w:themeColor="text1"/>
          <w:szCs w:val="24"/>
        </w:rPr>
      </w:pPr>
      <w:r w:rsidRPr="00AB1C80">
        <w:rPr>
          <w:rFonts w:cs="Arial"/>
        </w:rPr>
        <w:t>A partir de la revisión de estos documentos se buscó identificar los parámetros y aspectos tenidos en cuenta para el manejo y gestión de los estériles mineros en el país, haciendo énfasis en las consideraciones técnicas, ambientales, sociales y de gestión del riesgo para el desarrollo de escombreras, estructuras diseñadas para la disposición temporal o permanente del material</w:t>
      </w:r>
      <w:r w:rsidR="0085440C" w:rsidRPr="00AB1C80">
        <w:rPr>
          <w:rFonts w:cs="Arial"/>
          <w:color w:val="000000" w:themeColor="text1"/>
          <w:szCs w:val="24"/>
        </w:rPr>
        <w:t xml:space="preserve">, (ver, </w:t>
      </w:r>
      <w:r w:rsidR="0085440C" w:rsidRPr="00AB1C80">
        <w:rPr>
          <w:rFonts w:cs="Arial"/>
          <w:b/>
          <w:color w:val="000000" w:themeColor="text1"/>
          <w:szCs w:val="24"/>
        </w:rPr>
        <w:fldChar w:fldCharType="begin"/>
      </w:r>
      <w:r w:rsidR="0085440C" w:rsidRPr="00AB1C80">
        <w:rPr>
          <w:rFonts w:cs="Arial"/>
          <w:b/>
          <w:color w:val="000000" w:themeColor="text1"/>
          <w:szCs w:val="24"/>
        </w:rPr>
        <w:instrText xml:space="preserve"> REF _Ref56944816 \h  \* MERGEFORMAT </w:instrText>
      </w:r>
      <w:r w:rsidR="0085440C" w:rsidRPr="00AB1C80">
        <w:rPr>
          <w:rFonts w:cs="Arial"/>
          <w:b/>
          <w:color w:val="000000" w:themeColor="text1"/>
          <w:szCs w:val="24"/>
        </w:rPr>
      </w:r>
      <w:r w:rsidR="0085440C" w:rsidRPr="00AB1C80">
        <w:rPr>
          <w:rFonts w:cs="Arial"/>
          <w:b/>
          <w:color w:val="000000" w:themeColor="text1"/>
          <w:szCs w:val="24"/>
        </w:rPr>
        <w:fldChar w:fldCharType="separate"/>
      </w:r>
      <w:r w:rsidR="00AB1C80" w:rsidRPr="00AB1C80">
        <w:rPr>
          <w:rFonts w:cs="Arial"/>
          <w:b/>
        </w:rPr>
        <w:t xml:space="preserve">Tabla </w:t>
      </w:r>
      <w:r w:rsidR="00AB1C80" w:rsidRPr="00AB1C80">
        <w:rPr>
          <w:rFonts w:cs="Arial"/>
          <w:b/>
          <w:noProof/>
        </w:rPr>
        <w:t>5</w:t>
      </w:r>
      <w:r w:rsidR="0085440C" w:rsidRPr="00AB1C80">
        <w:rPr>
          <w:rFonts w:cs="Arial"/>
          <w:b/>
          <w:color w:val="000000" w:themeColor="text1"/>
          <w:szCs w:val="24"/>
        </w:rPr>
        <w:fldChar w:fldCharType="end"/>
      </w:r>
      <w:r w:rsidR="0085440C" w:rsidRPr="00AB1C80">
        <w:rPr>
          <w:rFonts w:cs="Arial"/>
          <w:color w:val="000000" w:themeColor="text1"/>
          <w:szCs w:val="24"/>
        </w:rPr>
        <w:t>)</w:t>
      </w:r>
    </w:p>
    <w:p w14:paraId="10D271E0" w14:textId="77777777" w:rsidR="007D185F" w:rsidRPr="00AB1C80" w:rsidRDefault="007D185F" w:rsidP="00AB1C80">
      <w:pPr>
        <w:spacing w:line="276" w:lineRule="auto"/>
        <w:rPr>
          <w:rFonts w:cs="Arial"/>
          <w:color w:val="000000" w:themeColor="text1"/>
          <w:szCs w:val="24"/>
        </w:rPr>
      </w:pPr>
    </w:p>
    <w:p w14:paraId="5BB111A2" w14:textId="328D9942" w:rsidR="0085440C" w:rsidRPr="00AB1C80" w:rsidRDefault="0085440C" w:rsidP="00AB1C80">
      <w:pPr>
        <w:pStyle w:val="Descripcin"/>
        <w:spacing w:line="276" w:lineRule="auto"/>
        <w:rPr>
          <w:rFonts w:cs="Arial"/>
          <w:lang w:val="es-CO"/>
        </w:rPr>
      </w:pPr>
      <w:bookmarkStart w:id="46" w:name="_Ref56944816"/>
      <w:bookmarkStart w:id="47" w:name="_Toc57372219"/>
      <w:bookmarkStart w:id="48" w:name="_Toc86333010"/>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5</w:t>
      </w:r>
      <w:r w:rsidRPr="00AB1C80">
        <w:rPr>
          <w:rFonts w:cs="Arial"/>
          <w:lang w:val="es-CO"/>
        </w:rPr>
        <w:fldChar w:fldCharType="end"/>
      </w:r>
      <w:bookmarkEnd w:id="46"/>
      <w:r w:rsidRPr="00AB1C80">
        <w:rPr>
          <w:rFonts w:cs="Arial"/>
          <w:lang w:val="es-CO"/>
        </w:rPr>
        <w:t xml:space="preserve">. Documentos revisados en la temática nacional para </w:t>
      </w:r>
      <w:r w:rsidR="007D185F" w:rsidRPr="00AB1C80">
        <w:rPr>
          <w:rFonts w:cs="Arial"/>
          <w:lang w:val="es-CO"/>
        </w:rPr>
        <w:t>gestión y manejo de estériles</w:t>
      </w:r>
      <w:r w:rsidRPr="00AB1C80">
        <w:rPr>
          <w:rFonts w:cs="Arial"/>
          <w:lang w:val="es-CO"/>
        </w:rPr>
        <w:t>.</w:t>
      </w:r>
      <w:bookmarkEnd w:id="47"/>
      <w:bookmarkEnd w:id="48"/>
    </w:p>
    <w:tbl>
      <w:tblPr>
        <w:tblW w:w="3858" w:type="dxa"/>
        <w:jc w:val="center"/>
        <w:tblLook w:val="04A0" w:firstRow="1" w:lastRow="0" w:firstColumn="1" w:lastColumn="0" w:noHBand="0" w:noVBand="1"/>
      </w:tblPr>
      <w:tblGrid>
        <w:gridCol w:w="2181"/>
        <w:gridCol w:w="1677"/>
      </w:tblGrid>
      <w:tr w:rsidR="0085440C" w:rsidRPr="00AB1C80" w14:paraId="1878B083" w14:textId="77777777" w:rsidTr="00CF38A6">
        <w:trPr>
          <w:trHeight w:val="20"/>
          <w:tblHeader/>
          <w:jc w:val="center"/>
        </w:trPr>
        <w:tc>
          <w:tcPr>
            <w:tcW w:w="2181" w:type="dxa"/>
            <w:tcBorders>
              <w:top w:val="single" w:sz="4" w:space="0" w:color="auto"/>
              <w:left w:val="single" w:sz="4" w:space="0" w:color="auto"/>
              <w:bottom w:val="single" w:sz="4" w:space="0" w:color="auto"/>
              <w:right w:val="single" w:sz="4" w:space="0" w:color="auto"/>
            </w:tcBorders>
            <w:shd w:val="clear" w:color="000000" w:fill="1E345C"/>
            <w:noWrap/>
            <w:vAlign w:val="center"/>
            <w:hideMark/>
          </w:tcPr>
          <w:p w14:paraId="32FE56D5" w14:textId="77777777" w:rsidR="0085440C" w:rsidRPr="00AB1C80" w:rsidRDefault="0085440C"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Tipo de Documento</w:t>
            </w:r>
          </w:p>
        </w:tc>
        <w:tc>
          <w:tcPr>
            <w:tcW w:w="1677" w:type="dxa"/>
            <w:tcBorders>
              <w:top w:val="single" w:sz="4" w:space="0" w:color="auto"/>
              <w:left w:val="nil"/>
              <w:bottom w:val="single" w:sz="4" w:space="0" w:color="auto"/>
              <w:right w:val="single" w:sz="4" w:space="0" w:color="auto"/>
            </w:tcBorders>
            <w:shd w:val="clear" w:color="000000" w:fill="1E345C"/>
            <w:noWrap/>
            <w:vAlign w:val="center"/>
            <w:hideMark/>
          </w:tcPr>
          <w:p w14:paraId="62560131" w14:textId="77777777" w:rsidR="0085440C" w:rsidRPr="00AB1C80" w:rsidRDefault="0085440C"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Nacional</w:t>
            </w:r>
          </w:p>
        </w:tc>
      </w:tr>
      <w:tr w:rsidR="0085440C" w:rsidRPr="00AB1C80" w14:paraId="13E1C075"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691840CB"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Oficial</w:t>
            </w:r>
          </w:p>
        </w:tc>
        <w:tc>
          <w:tcPr>
            <w:tcW w:w="1677" w:type="dxa"/>
            <w:tcBorders>
              <w:top w:val="nil"/>
              <w:left w:val="nil"/>
              <w:bottom w:val="single" w:sz="4" w:space="0" w:color="auto"/>
              <w:right w:val="single" w:sz="4" w:space="0" w:color="auto"/>
            </w:tcBorders>
            <w:shd w:val="clear" w:color="auto" w:fill="auto"/>
            <w:noWrap/>
            <w:vAlign w:val="center"/>
          </w:tcPr>
          <w:p w14:paraId="627A9638" w14:textId="4D520A00"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85440C" w:rsidRPr="00AB1C80" w14:paraId="1F557C14"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56A10160"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Guía Técnica</w:t>
            </w:r>
          </w:p>
        </w:tc>
        <w:tc>
          <w:tcPr>
            <w:tcW w:w="1677" w:type="dxa"/>
            <w:tcBorders>
              <w:top w:val="nil"/>
              <w:left w:val="nil"/>
              <w:bottom w:val="single" w:sz="4" w:space="0" w:color="auto"/>
              <w:right w:val="single" w:sz="4" w:space="0" w:color="auto"/>
            </w:tcBorders>
            <w:shd w:val="clear" w:color="auto" w:fill="auto"/>
            <w:noWrap/>
            <w:vAlign w:val="center"/>
          </w:tcPr>
          <w:p w14:paraId="79BE948A" w14:textId="57C592C0"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3</w:t>
            </w:r>
          </w:p>
        </w:tc>
      </w:tr>
      <w:tr w:rsidR="0085440C" w:rsidRPr="00AB1C80" w14:paraId="1414CB88"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2D85CE2E"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Técnico</w:t>
            </w:r>
          </w:p>
        </w:tc>
        <w:tc>
          <w:tcPr>
            <w:tcW w:w="1677" w:type="dxa"/>
            <w:tcBorders>
              <w:top w:val="nil"/>
              <w:left w:val="nil"/>
              <w:bottom w:val="single" w:sz="4" w:space="0" w:color="auto"/>
              <w:right w:val="single" w:sz="4" w:space="0" w:color="auto"/>
            </w:tcBorders>
            <w:shd w:val="clear" w:color="auto" w:fill="auto"/>
            <w:noWrap/>
            <w:vAlign w:val="center"/>
          </w:tcPr>
          <w:p w14:paraId="0143760F" w14:textId="03D63F96"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85440C" w:rsidRPr="00AB1C80" w14:paraId="616825E4"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7CD0EF14"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Estudio Normativo</w:t>
            </w:r>
          </w:p>
        </w:tc>
        <w:tc>
          <w:tcPr>
            <w:tcW w:w="1677" w:type="dxa"/>
            <w:tcBorders>
              <w:top w:val="nil"/>
              <w:left w:val="nil"/>
              <w:bottom w:val="single" w:sz="4" w:space="0" w:color="auto"/>
              <w:right w:val="single" w:sz="4" w:space="0" w:color="auto"/>
            </w:tcBorders>
            <w:shd w:val="clear" w:color="auto" w:fill="auto"/>
            <w:noWrap/>
            <w:vAlign w:val="center"/>
          </w:tcPr>
          <w:p w14:paraId="7670D354" w14:textId="5E3073C5"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85440C" w:rsidRPr="00AB1C80" w14:paraId="0190F99C"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738276B7"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Tesis</w:t>
            </w:r>
          </w:p>
        </w:tc>
        <w:tc>
          <w:tcPr>
            <w:tcW w:w="1677" w:type="dxa"/>
            <w:tcBorders>
              <w:top w:val="nil"/>
              <w:left w:val="nil"/>
              <w:bottom w:val="single" w:sz="4" w:space="0" w:color="auto"/>
              <w:right w:val="single" w:sz="4" w:space="0" w:color="auto"/>
            </w:tcBorders>
            <w:shd w:val="clear" w:color="auto" w:fill="auto"/>
            <w:noWrap/>
            <w:vAlign w:val="center"/>
          </w:tcPr>
          <w:p w14:paraId="6F1130FB" w14:textId="697D9002"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85440C" w:rsidRPr="00AB1C80" w14:paraId="64A49665"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31C482DB"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Artículo</w:t>
            </w:r>
          </w:p>
        </w:tc>
        <w:tc>
          <w:tcPr>
            <w:tcW w:w="1677" w:type="dxa"/>
            <w:tcBorders>
              <w:top w:val="nil"/>
              <w:left w:val="nil"/>
              <w:bottom w:val="single" w:sz="4" w:space="0" w:color="auto"/>
              <w:right w:val="single" w:sz="4" w:space="0" w:color="auto"/>
            </w:tcBorders>
            <w:shd w:val="clear" w:color="auto" w:fill="auto"/>
            <w:noWrap/>
            <w:vAlign w:val="center"/>
          </w:tcPr>
          <w:p w14:paraId="5ADCD357" w14:textId="662FEDE0"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2</w:t>
            </w:r>
          </w:p>
        </w:tc>
      </w:tr>
      <w:tr w:rsidR="0085440C" w:rsidRPr="00AB1C80" w14:paraId="52B22D1D"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192A8480"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Presentación</w:t>
            </w:r>
          </w:p>
        </w:tc>
        <w:tc>
          <w:tcPr>
            <w:tcW w:w="1677" w:type="dxa"/>
            <w:tcBorders>
              <w:top w:val="nil"/>
              <w:left w:val="nil"/>
              <w:bottom w:val="single" w:sz="4" w:space="0" w:color="auto"/>
              <w:right w:val="single" w:sz="4" w:space="0" w:color="auto"/>
            </w:tcBorders>
            <w:shd w:val="clear" w:color="auto" w:fill="auto"/>
            <w:noWrap/>
            <w:vAlign w:val="center"/>
          </w:tcPr>
          <w:p w14:paraId="0F29D3E2" w14:textId="519BAA90"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CF38A6" w:rsidRPr="00AB1C80" w14:paraId="3353DEF5"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tcPr>
          <w:p w14:paraId="2825A741" w14:textId="00D2E7AA" w:rsidR="00CF38A6" w:rsidRPr="00AB1C80" w:rsidRDefault="00CF38A6"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Términos de Referencia</w:t>
            </w:r>
          </w:p>
        </w:tc>
        <w:tc>
          <w:tcPr>
            <w:tcW w:w="1677" w:type="dxa"/>
            <w:tcBorders>
              <w:top w:val="nil"/>
              <w:left w:val="nil"/>
              <w:bottom w:val="single" w:sz="4" w:space="0" w:color="auto"/>
              <w:right w:val="single" w:sz="4" w:space="0" w:color="auto"/>
            </w:tcBorders>
            <w:shd w:val="clear" w:color="auto" w:fill="auto"/>
            <w:noWrap/>
            <w:vAlign w:val="center"/>
          </w:tcPr>
          <w:p w14:paraId="478E25FB" w14:textId="5BEB35D8" w:rsidR="00CF38A6"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3</w:t>
            </w:r>
          </w:p>
        </w:tc>
      </w:tr>
      <w:tr w:rsidR="0085440C" w:rsidRPr="00AB1C80" w14:paraId="493C0778" w14:textId="77777777" w:rsidTr="00CF38A6">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18798B3A" w14:textId="77777777" w:rsidR="0085440C" w:rsidRPr="00AB1C80" w:rsidRDefault="0085440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Otros Documentos</w:t>
            </w:r>
          </w:p>
        </w:tc>
        <w:tc>
          <w:tcPr>
            <w:tcW w:w="1677" w:type="dxa"/>
            <w:tcBorders>
              <w:top w:val="nil"/>
              <w:left w:val="nil"/>
              <w:bottom w:val="single" w:sz="4" w:space="0" w:color="auto"/>
              <w:right w:val="single" w:sz="4" w:space="0" w:color="auto"/>
            </w:tcBorders>
            <w:shd w:val="clear" w:color="auto" w:fill="auto"/>
            <w:noWrap/>
            <w:vAlign w:val="center"/>
          </w:tcPr>
          <w:p w14:paraId="09DEF3CF" w14:textId="110A9630" w:rsidR="0085440C" w:rsidRPr="00AB1C80" w:rsidRDefault="00FE7BBA"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bl>
    <w:p w14:paraId="1EF75412" w14:textId="43EAE10D" w:rsidR="0085440C" w:rsidRPr="00AB1C80" w:rsidRDefault="0085440C" w:rsidP="00AB1C80">
      <w:pPr>
        <w:pStyle w:val="Fuente"/>
        <w:spacing w:line="276" w:lineRule="auto"/>
        <w:rPr>
          <w:rFonts w:cs="Arial"/>
          <w:lang w:val="es-CO"/>
        </w:rPr>
      </w:pPr>
      <w:r w:rsidRPr="00AB1C80">
        <w:rPr>
          <w:rFonts w:cs="Arial"/>
          <w:lang w:val="es-CO"/>
        </w:rPr>
        <w:t>Fuente: ATG Ltda., 202</w:t>
      </w:r>
      <w:r w:rsidR="007D185F" w:rsidRPr="00AB1C80">
        <w:rPr>
          <w:rFonts w:cs="Arial"/>
          <w:lang w:val="es-CO"/>
        </w:rPr>
        <w:t>1</w:t>
      </w:r>
      <w:r w:rsidRPr="00AB1C80">
        <w:rPr>
          <w:rFonts w:cs="Arial"/>
          <w:lang w:val="es-CO"/>
        </w:rPr>
        <w:t>.</w:t>
      </w:r>
    </w:p>
    <w:p w14:paraId="11610957" w14:textId="77777777" w:rsidR="0085440C" w:rsidRPr="00AB1C80" w:rsidRDefault="0085440C" w:rsidP="00AB1C80">
      <w:pPr>
        <w:spacing w:line="276" w:lineRule="auto"/>
        <w:rPr>
          <w:rFonts w:cs="Arial"/>
          <w:color w:val="000000" w:themeColor="text1"/>
          <w:szCs w:val="24"/>
        </w:rPr>
      </w:pPr>
    </w:p>
    <w:p w14:paraId="46B44211" w14:textId="5CF33190" w:rsidR="0085440C" w:rsidRPr="00AB1C80" w:rsidRDefault="0085440C" w:rsidP="00AB1C80">
      <w:pPr>
        <w:spacing w:line="276" w:lineRule="auto"/>
        <w:rPr>
          <w:rFonts w:cs="Arial"/>
          <w:color w:val="000000" w:themeColor="text1"/>
        </w:rPr>
      </w:pPr>
      <w:r w:rsidRPr="00AB1C80">
        <w:rPr>
          <w:rFonts w:cs="Arial"/>
          <w:color w:val="000000" w:themeColor="text1"/>
          <w:szCs w:val="24"/>
        </w:rPr>
        <w:t>A continuación, en las</w:t>
      </w:r>
      <w:r w:rsidR="007F0989" w:rsidRPr="00AB1C80">
        <w:rPr>
          <w:rFonts w:cs="Arial"/>
          <w:color w:val="000000" w:themeColor="text1"/>
          <w:szCs w:val="24"/>
        </w:rPr>
        <w:t xml:space="preserve"> </w:t>
      </w:r>
      <w:r w:rsidR="00FD7604" w:rsidRPr="00AB1C80">
        <w:rPr>
          <w:rFonts w:cs="Arial"/>
          <w:b/>
          <w:bCs/>
          <w:color w:val="000000" w:themeColor="text1"/>
          <w:szCs w:val="24"/>
        </w:rPr>
        <w:fldChar w:fldCharType="begin"/>
      </w:r>
      <w:r w:rsidR="00FD7604" w:rsidRPr="00AB1C80">
        <w:rPr>
          <w:rFonts w:cs="Arial"/>
          <w:b/>
          <w:bCs/>
          <w:color w:val="000000" w:themeColor="text1"/>
          <w:szCs w:val="24"/>
        </w:rPr>
        <w:instrText xml:space="preserve"> REF _Ref86242234 \h  \* MERGEFORMAT </w:instrText>
      </w:r>
      <w:r w:rsidR="00FD7604" w:rsidRPr="00AB1C80">
        <w:rPr>
          <w:rFonts w:cs="Arial"/>
          <w:b/>
          <w:bCs/>
          <w:color w:val="000000" w:themeColor="text1"/>
          <w:szCs w:val="24"/>
        </w:rPr>
      </w:r>
      <w:r w:rsidR="00FD7604"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6</w:t>
      </w:r>
      <w:r w:rsidR="00FD7604" w:rsidRPr="00AB1C80">
        <w:rPr>
          <w:rFonts w:cs="Arial"/>
          <w:b/>
          <w:bCs/>
          <w:color w:val="000000" w:themeColor="text1"/>
          <w:szCs w:val="24"/>
        </w:rPr>
        <w:fldChar w:fldCharType="end"/>
      </w:r>
      <w:r w:rsidR="00FD7604" w:rsidRPr="00AB1C80">
        <w:rPr>
          <w:rFonts w:cs="Arial"/>
          <w:b/>
          <w:bCs/>
          <w:color w:val="000000" w:themeColor="text1"/>
          <w:szCs w:val="24"/>
        </w:rPr>
        <w:t xml:space="preserve">, </w:t>
      </w:r>
      <w:r w:rsidR="00FD7604" w:rsidRPr="00AB1C80">
        <w:rPr>
          <w:rFonts w:cs="Arial"/>
          <w:b/>
          <w:bCs/>
          <w:color w:val="000000" w:themeColor="text1"/>
          <w:szCs w:val="24"/>
        </w:rPr>
        <w:fldChar w:fldCharType="begin"/>
      </w:r>
      <w:r w:rsidR="00FD7604" w:rsidRPr="00AB1C80">
        <w:rPr>
          <w:rFonts w:cs="Arial"/>
          <w:b/>
          <w:bCs/>
          <w:color w:val="000000" w:themeColor="text1"/>
          <w:szCs w:val="24"/>
        </w:rPr>
        <w:instrText xml:space="preserve"> REF _Ref86242238 \h  \* MERGEFORMAT </w:instrText>
      </w:r>
      <w:r w:rsidR="00FD7604" w:rsidRPr="00AB1C80">
        <w:rPr>
          <w:rFonts w:cs="Arial"/>
          <w:b/>
          <w:bCs/>
          <w:color w:val="000000" w:themeColor="text1"/>
          <w:szCs w:val="24"/>
        </w:rPr>
      </w:r>
      <w:r w:rsidR="00FD7604"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7</w:t>
      </w:r>
      <w:r w:rsidR="00FD7604" w:rsidRPr="00AB1C80">
        <w:rPr>
          <w:rFonts w:cs="Arial"/>
          <w:b/>
          <w:bCs/>
          <w:color w:val="000000" w:themeColor="text1"/>
          <w:szCs w:val="24"/>
        </w:rPr>
        <w:fldChar w:fldCharType="end"/>
      </w:r>
      <w:r w:rsidR="00FD7604" w:rsidRPr="00AB1C80">
        <w:rPr>
          <w:rFonts w:cs="Arial"/>
          <w:b/>
          <w:bCs/>
          <w:color w:val="000000" w:themeColor="text1"/>
          <w:szCs w:val="24"/>
        </w:rPr>
        <w:t xml:space="preserve">, </w:t>
      </w:r>
      <w:r w:rsidR="00FD7604" w:rsidRPr="00AB1C80">
        <w:rPr>
          <w:rFonts w:cs="Arial"/>
          <w:b/>
          <w:bCs/>
          <w:color w:val="000000" w:themeColor="text1"/>
          <w:szCs w:val="24"/>
        </w:rPr>
        <w:fldChar w:fldCharType="begin"/>
      </w:r>
      <w:r w:rsidR="00FD7604" w:rsidRPr="00AB1C80">
        <w:rPr>
          <w:rFonts w:cs="Arial"/>
          <w:b/>
          <w:bCs/>
          <w:color w:val="000000" w:themeColor="text1"/>
          <w:szCs w:val="24"/>
        </w:rPr>
        <w:instrText xml:space="preserve"> REF _Ref86242241 \h  \* MERGEFORMAT </w:instrText>
      </w:r>
      <w:r w:rsidR="00FD7604" w:rsidRPr="00AB1C80">
        <w:rPr>
          <w:rFonts w:cs="Arial"/>
          <w:b/>
          <w:bCs/>
          <w:color w:val="000000" w:themeColor="text1"/>
          <w:szCs w:val="24"/>
        </w:rPr>
      </w:r>
      <w:r w:rsidR="00FD7604"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8</w:t>
      </w:r>
      <w:r w:rsidR="00FD7604" w:rsidRPr="00AB1C80">
        <w:rPr>
          <w:rFonts w:cs="Arial"/>
          <w:b/>
          <w:bCs/>
          <w:color w:val="000000" w:themeColor="text1"/>
          <w:szCs w:val="24"/>
        </w:rPr>
        <w:fldChar w:fldCharType="end"/>
      </w:r>
      <w:r w:rsidR="00FD7604" w:rsidRPr="00AB1C80">
        <w:rPr>
          <w:rFonts w:cs="Arial"/>
          <w:b/>
          <w:bCs/>
          <w:color w:val="000000" w:themeColor="text1"/>
          <w:szCs w:val="24"/>
        </w:rPr>
        <w:t xml:space="preserve">, </w:t>
      </w:r>
      <w:r w:rsidR="00FD7604" w:rsidRPr="00AB1C80">
        <w:rPr>
          <w:rFonts w:cs="Arial"/>
          <w:b/>
          <w:bCs/>
          <w:color w:val="000000" w:themeColor="text1"/>
          <w:szCs w:val="24"/>
        </w:rPr>
        <w:fldChar w:fldCharType="begin"/>
      </w:r>
      <w:r w:rsidR="00FD7604" w:rsidRPr="00AB1C80">
        <w:rPr>
          <w:rFonts w:cs="Arial"/>
          <w:b/>
          <w:bCs/>
          <w:color w:val="000000" w:themeColor="text1"/>
          <w:szCs w:val="24"/>
        </w:rPr>
        <w:instrText xml:space="preserve"> REF _Ref86242243 \h  \* MERGEFORMAT </w:instrText>
      </w:r>
      <w:r w:rsidR="00FD7604" w:rsidRPr="00AB1C80">
        <w:rPr>
          <w:rFonts w:cs="Arial"/>
          <w:b/>
          <w:bCs/>
          <w:color w:val="000000" w:themeColor="text1"/>
          <w:szCs w:val="24"/>
        </w:rPr>
      </w:r>
      <w:r w:rsidR="00FD7604"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9</w:t>
      </w:r>
      <w:r w:rsidR="00FD7604" w:rsidRPr="00AB1C80">
        <w:rPr>
          <w:rFonts w:cs="Arial"/>
          <w:b/>
          <w:bCs/>
          <w:color w:val="000000" w:themeColor="text1"/>
          <w:szCs w:val="24"/>
        </w:rPr>
        <w:fldChar w:fldCharType="end"/>
      </w:r>
      <w:r w:rsidR="00FD7604" w:rsidRPr="00AB1C80">
        <w:rPr>
          <w:rFonts w:cs="Arial"/>
          <w:b/>
          <w:bCs/>
          <w:color w:val="000000" w:themeColor="text1"/>
          <w:szCs w:val="24"/>
        </w:rPr>
        <w:t xml:space="preserve"> </w:t>
      </w:r>
      <w:r w:rsidR="00FD7604" w:rsidRPr="00AB1C80">
        <w:rPr>
          <w:rFonts w:cs="Arial"/>
          <w:color w:val="000000" w:themeColor="text1"/>
          <w:szCs w:val="24"/>
        </w:rPr>
        <w:t xml:space="preserve">y </w:t>
      </w:r>
      <w:r w:rsidR="00FD7604" w:rsidRPr="00AB1C80">
        <w:rPr>
          <w:rFonts w:cs="Arial"/>
          <w:b/>
          <w:bCs/>
          <w:color w:val="000000" w:themeColor="text1"/>
          <w:szCs w:val="24"/>
        </w:rPr>
        <w:fldChar w:fldCharType="begin"/>
      </w:r>
      <w:r w:rsidR="00FD7604" w:rsidRPr="00AB1C80">
        <w:rPr>
          <w:rFonts w:cs="Arial"/>
          <w:b/>
          <w:bCs/>
          <w:color w:val="000000" w:themeColor="text1"/>
          <w:szCs w:val="24"/>
        </w:rPr>
        <w:instrText xml:space="preserve"> REF _Ref86242245 \h  \* MERGEFORMAT </w:instrText>
      </w:r>
      <w:r w:rsidR="00FD7604" w:rsidRPr="00AB1C80">
        <w:rPr>
          <w:rFonts w:cs="Arial"/>
          <w:b/>
          <w:bCs/>
          <w:color w:val="000000" w:themeColor="text1"/>
          <w:szCs w:val="24"/>
        </w:rPr>
      </w:r>
      <w:r w:rsidR="00FD7604"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10</w:t>
      </w:r>
      <w:r w:rsidR="00FD7604" w:rsidRPr="00AB1C80">
        <w:rPr>
          <w:rFonts w:cs="Arial"/>
          <w:b/>
          <w:bCs/>
          <w:color w:val="000000" w:themeColor="text1"/>
          <w:szCs w:val="24"/>
        </w:rPr>
        <w:fldChar w:fldCharType="end"/>
      </w:r>
      <w:r w:rsidRPr="00AB1C80">
        <w:rPr>
          <w:rFonts w:cs="Arial"/>
          <w:b/>
          <w:color w:val="000000" w:themeColor="text1"/>
          <w:szCs w:val="24"/>
        </w:rPr>
        <w:t>,</w:t>
      </w:r>
      <w:r w:rsidRPr="00AB1C80">
        <w:rPr>
          <w:rFonts w:cs="Arial"/>
          <w:color w:val="000000" w:themeColor="text1"/>
          <w:szCs w:val="24"/>
        </w:rPr>
        <w:t xml:space="preserve"> se presenta la revisión de información nacional respecto a</w:t>
      </w:r>
      <w:r w:rsidR="007D185F" w:rsidRPr="00AB1C80">
        <w:rPr>
          <w:rFonts w:cs="Arial"/>
          <w:color w:val="000000" w:themeColor="text1"/>
          <w:szCs w:val="24"/>
        </w:rPr>
        <w:t xml:space="preserve"> gestión y manejo de los estériles</w:t>
      </w:r>
      <w:r w:rsidRPr="00AB1C80">
        <w:rPr>
          <w:rFonts w:cs="Arial"/>
          <w:color w:val="000000" w:themeColor="text1"/>
          <w:szCs w:val="24"/>
        </w:rPr>
        <w:t xml:space="preserve">, </w:t>
      </w:r>
      <w:r w:rsidR="00FD7604" w:rsidRPr="00AB1C80">
        <w:rPr>
          <w:rFonts w:cs="Arial"/>
          <w:color w:val="000000" w:themeColor="text1"/>
          <w:szCs w:val="24"/>
        </w:rPr>
        <w:t>en forma de</w:t>
      </w:r>
      <w:r w:rsidR="007D185F" w:rsidRPr="00AB1C80">
        <w:rPr>
          <w:rFonts w:cs="Arial"/>
          <w:color w:val="000000" w:themeColor="text1"/>
          <w:szCs w:val="24"/>
        </w:rPr>
        <w:t xml:space="preserve"> </w:t>
      </w:r>
      <w:r w:rsidRPr="00AB1C80">
        <w:rPr>
          <w:rFonts w:cs="Arial"/>
          <w:color w:val="000000" w:themeColor="text1"/>
          <w:szCs w:val="24"/>
        </w:rPr>
        <w:t xml:space="preserve">análisis, critica e interpretación de cada documento, </w:t>
      </w:r>
      <w:r w:rsidR="007D185F" w:rsidRPr="00AB1C80">
        <w:rPr>
          <w:rFonts w:cs="Arial"/>
          <w:color w:val="000000" w:themeColor="text1"/>
          <w:szCs w:val="24"/>
        </w:rPr>
        <w:t xml:space="preserve">en las tablas se encuentra de manera reducida la información, ya que en el </w:t>
      </w:r>
      <w:r w:rsidR="007D185F" w:rsidRPr="00AB1C80">
        <w:rPr>
          <w:rFonts w:cs="Arial"/>
          <w:b/>
          <w:bCs/>
          <w:color w:val="000000" w:themeColor="text1"/>
          <w:szCs w:val="24"/>
        </w:rPr>
        <w:t>Anexo 1</w:t>
      </w:r>
      <w:r w:rsidR="007D185F" w:rsidRPr="00AB1C80">
        <w:rPr>
          <w:rFonts w:cs="Arial"/>
          <w:color w:val="000000" w:themeColor="text1"/>
          <w:szCs w:val="24"/>
        </w:rPr>
        <w:t xml:space="preserve"> se encuentra cada documento con información amplia </w:t>
      </w:r>
      <w:r w:rsidR="00A30D83" w:rsidRPr="00AB1C80">
        <w:rPr>
          <w:rFonts w:cs="Arial"/>
          <w:color w:val="000000" w:themeColor="text1"/>
          <w:szCs w:val="24"/>
        </w:rPr>
        <w:t xml:space="preserve">y detallada </w:t>
      </w:r>
      <w:r w:rsidR="007D185F" w:rsidRPr="00AB1C80">
        <w:rPr>
          <w:rFonts w:cs="Arial"/>
          <w:color w:val="000000" w:themeColor="text1"/>
          <w:szCs w:val="24"/>
        </w:rPr>
        <w:t>de la interpretación realizada</w:t>
      </w:r>
      <w:r w:rsidRPr="00AB1C80">
        <w:rPr>
          <w:rFonts w:cs="Arial"/>
          <w:color w:val="000000" w:themeColor="text1"/>
          <w:szCs w:val="24"/>
        </w:rPr>
        <w:t>.</w:t>
      </w:r>
    </w:p>
    <w:p w14:paraId="10D45691" w14:textId="77777777" w:rsidR="0085440C" w:rsidRPr="00AB1C80" w:rsidRDefault="0085440C" w:rsidP="00AB1C80">
      <w:pPr>
        <w:spacing w:line="276" w:lineRule="auto"/>
        <w:rPr>
          <w:rFonts w:cs="Arial"/>
          <w:color w:val="000000" w:themeColor="text1"/>
        </w:rPr>
      </w:pPr>
    </w:p>
    <w:p w14:paraId="7313E4FB" w14:textId="2949DB36" w:rsidR="00F151C7" w:rsidRPr="00AB1C80" w:rsidRDefault="00F151C7" w:rsidP="00AB1C80">
      <w:pPr>
        <w:pStyle w:val="Ttulo4"/>
        <w:spacing w:line="276" w:lineRule="auto"/>
        <w:rPr>
          <w:rFonts w:ascii="Arial" w:hAnsi="Arial"/>
        </w:rPr>
      </w:pPr>
      <w:bookmarkStart w:id="49" w:name="_Toc86332922"/>
      <w:r w:rsidRPr="00AB1C80">
        <w:rPr>
          <w:rFonts w:ascii="Arial" w:hAnsi="Arial"/>
        </w:rPr>
        <w:t>Documentación recopilada</w:t>
      </w:r>
      <w:bookmarkEnd w:id="49"/>
    </w:p>
    <w:p w14:paraId="55B8FC0C" w14:textId="43A3310C" w:rsidR="00F151C7" w:rsidRPr="00AB1C80" w:rsidRDefault="00F151C7" w:rsidP="00AB1C80">
      <w:pPr>
        <w:spacing w:line="276" w:lineRule="auto"/>
        <w:rPr>
          <w:rFonts w:cs="Arial"/>
          <w:color w:val="000000" w:themeColor="text1"/>
        </w:rPr>
      </w:pPr>
    </w:p>
    <w:p w14:paraId="0DAAF5F6" w14:textId="77777777" w:rsidR="00EB44C2" w:rsidRPr="00AB1C80" w:rsidRDefault="00EB44C2" w:rsidP="00AB1C80">
      <w:pPr>
        <w:spacing w:line="276" w:lineRule="auto"/>
        <w:rPr>
          <w:rFonts w:cs="Arial"/>
          <w:color w:val="000000" w:themeColor="text1"/>
          <w:highlight w:val="yellow"/>
        </w:rPr>
        <w:sectPr w:rsidR="00EB44C2" w:rsidRPr="00AB1C80" w:rsidSect="00A830D6">
          <w:headerReference w:type="default" r:id="rId13"/>
          <w:type w:val="continuous"/>
          <w:pgSz w:w="12240" w:h="15840"/>
          <w:pgMar w:top="1418" w:right="1701" w:bottom="1418" w:left="1701" w:header="709" w:footer="709" w:gutter="0"/>
          <w:cols w:space="708"/>
          <w:docGrid w:linePitch="360"/>
        </w:sectPr>
      </w:pPr>
    </w:p>
    <w:p w14:paraId="72E6526C" w14:textId="2F259C69" w:rsidR="00EB44C2" w:rsidRPr="00AB1C80" w:rsidRDefault="00EB44C2" w:rsidP="00AB1C80">
      <w:pPr>
        <w:pStyle w:val="Descripcin"/>
        <w:spacing w:line="276" w:lineRule="auto"/>
        <w:rPr>
          <w:rFonts w:cs="Arial"/>
          <w:lang w:val="es-CO"/>
        </w:rPr>
      </w:pPr>
      <w:bookmarkStart w:id="50" w:name="_Ref86242234"/>
      <w:bookmarkStart w:id="51" w:name="_Toc86333011"/>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6</w:t>
      </w:r>
      <w:r w:rsidRPr="00AB1C80">
        <w:rPr>
          <w:rFonts w:cs="Arial"/>
          <w:lang w:val="es-CO"/>
        </w:rPr>
        <w:fldChar w:fldCharType="end"/>
      </w:r>
      <w:bookmarkEnd w:id="50"/>
      <w:r w:rsidRPr="00AB1C80">
        <w:rPr>
          <w:rFonts w:cs="Arial"/>
          <w:lang w:val="es-CO"/>
        </w:rPr>
        <w:t>. Revisión de información nacional por artículos para la gestión y manejo de estériles.</w:t>
      </w:r>
      <w:bookmarkEnd w:id="51"/>
    </w:p>
    <w:tbl>
      <w:tblPr>
        <w:tblW w:w="13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2405"/>
        <w:gridCol w:w="1263"/>
        <w:gridCol w:w="7956"/>
      </w:tblGrid>
      <w:tr w:rsidR="00225621" w:rsidRPr="00AB1C80" w14:paraId="44696E74" w14:textId="77777777" w:rsidTr="00225621">
        <w:trPr>
          <w:trHeight w:val="20"/>
          <w:tblHeader/>
          <w:jc w:val="center"/>
        </w:trPr>
        <w:tc>
          <w:tcPr>
            <w:tcW w:w="2263" w:type="dxa"/>
            <w:shd w:val="clear" w:color="1E345C" w:fill="1E345C"/>
            <w:vAlign w:val="center"/>
            <w:hideMark/>
          </w:tcPr>
          <w:p w14:paraId="002F8A9C"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2405" w:type="dxa"/>
            <w:shd w:val="clear" w:color="1E345C" w:fill="1E345C"/>
            <w:vAlign w:val="center"/>
            <w:hideMark/>
          </w:tcPr>
          <w:p w14:paraId="3AE52F1B"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63" w:type="dxa"/>
            <w:shd w:val="clear" w:color="1E345C" w:fill="1E345C"/>
            <w:vAlign w:val="center"/>
            <w:hideMark/>
          </w:tcPr>
          <w:p w14:paraId="054CEDA3"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956" w:type="dxa"/>
            <w:shd w:val="clear" w:color="1E345C" w:fill="1E345C"/>
            <w:vAlign w:val="center"/>
            <w:hideMark/>
          </w:tcPr>
          <w:p w14:paraId="73454B5F"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3E97BD56" w14:textId="77777777" w:rsidTr="00225621">
        <w:trPr>
          <w:trHeight w:val="20"/>
          <w:jc w:val="center"/>
        </w:trPr>
        <w:tc>
          <w:tcPr>
            <w:tcW w:w="2263" w:type="dxa"/>
            <w:shd w:val="clear" w:color="auto" w:fill="auto"/>
            <w:vAlign w:val="center"/>
            <w:hideMark/>
          </w:tcPr>
          <w:p w14:paraId="3581FE1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Manejo Estratégico de la Producción de Residuos Estériles de Minería Sustentable, Utilizando Prácticas Mineras Eco-Eficientes en Colombia</w:t>
            </w:r>
          </w:p>
        </w:tc>
        <w:tc>
          <w:tcPr>
            <w:tcW w:w="2405" w:type="dxa"/>
            <w:shd w:val="clear" w:color="auto" w:fill="auto"/>
            <w:vAlign w:val="center"/>
            <w:hideMark/>
          </w:tcPr>
          <w:p w14:paraId="56FCA83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Efraín Casadiego Quintero1, Andrés Giovanni Gutiérrez Bayona2, Miguel Ángel Herrera Lopez3 &amp; 4 Martha Liliana Villanueva Páez</w:t>
            </w:r>
          </w:p>
        </w:tc>
        <w:tc>
          <w:tcPr>
            <w:tcW w:w="1263" w:type="dxa"/>
            <w:shd w:val="clear" w:color="auto" w:fill="auto"/>
            <w:vAlign w:val="center"/>
            <w:hideMark/>
          </w:tcPr>
          <w:p w14:paraId="35CD4DB9"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7956" w:type="dxa"/>
            <w:shd w:val="clear" w:color="auto" w:fill="auto"/>
            <w:vAlign w:val="center"/>
            <w:hideMark/>
          </w:tcPr>
          <w:p w14:paraId="202B7798" w14:textId="123F3FFC"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t xml:space="preserve">Del documento se puede extraer información interesante a considerar en la construcción de los lineamientos respectos a los usos posibles del estéril en el marco de la economía circular, mediante mejoramiento de los procesos de beneficio y transformación a través de la eliminación del uso de químicos como el mercurio y cianuro permitiendo </w:t>
            </w:r>
            <w:r w:rsidRPr="00AB1C80">
              <w:rPr>
                <w:rFonts w:eastAsia="Times New Roman" w:cs="Arial"/>
                <w:sz w:val="20"/>
                <w:szCs w:val="20"/>
                <w:lang w:eastAsia="es-CO"/>
              </w:rPr>
              <w:br/>
              <w:t xml:space="preserve"> la utilización del material estéril como agregados para construcción.</w:t>
            </w:r>
            <w:r w:rsidRPr="00AB1C80">
              <w:rPr>
                <w:rFonts w:eastAsia="Times New Roman" w:cs="Arial"/>
                <w:sz w:val="20"/>
                <w:szCs w:val="20"/>
                <w:lang w:eastAsia="es-CO"/>
              </w:rPr>
              <w:br/>
            </w:r>
            <w:r w:rsidRPr="00AB1C80">
              <w:rPr>
                <w:rFonts w:eastAsia="Times New Roman" w:cs="Arial"/>
                <w:sz w:val="20"/>
                <w:szCs w:val="20"/>
                <w:lang w:eastAsia="es-CO"/>
              </w:rPr>
              <w:br/>
              <w:t>En la minería sostenible de oro y la generación de residuos estériles, son importantes cuatro procesos: la extracción en la mina, la selección del material grueso, el proceso trituración-selección y el procesamiento metalúrgico (</w:t>
            </w:r>
            <w:proofErr w:type="spellStart"/>
            <w:r w:rsidRPr="00AB1C80">
              <w:rPr>
                <w:rFonts w:eastAsia="Times New Roman" w:cs="Arial"/>
                <w:sz w:val="20"/>
                <w:szCs w:val="20"/>
                <w:lang w:eastAsia="es-CO"/>
              </w:rPr>
              <w:t>Lébre</w:t>
            </w:r>
            <w:proofErr w:type="spellEnd"/>
            <w:r w:rsidRPr="00AB1C80">
              <w:rPr>
                <w:rFonts w:eastAsia="Times New Roman" w:cs="Arial"/>
                <w:sz w:val="20"/>
                <w:szCs w:val="20"/>
                <w:lang w:eastAsia="es-CO"/>
              </w:rPr>
              <w:t>, Corder &amp; Golev, 2017). Durante cada una de estas etapas se revisa debe realizar la litología, mineralogía y granulometría de la roca.</w:t>
            </w:r>
            <w:r w:rsidRPr="00AB1C80">
              <w:rPr>
                <w:rFonts w:eastAsia="Times New Roman" w:cs="Arial"/>
                <w:sz w:val="20"/>
                <w:szCs w:val="20"/>
                <w:lang w:eastAsia="es-CO"/>
              </w:rPr>
              <w:br/>
            </w:r>
            <w:r w:rsidRPr="00AB1C80">
              <w:rPr>
                <w:rFonts w:eastAsia="Times New Roman" w:cs="Arial"/>
                <w:sz w:val="20"/>
                <w:szCs w:val="20"/>
                <w:lang w:eastAsia="es-CO"/>
              </w:rPr>
              <w:br/>
              <w:t>Debido a la variación del tamaño del residuo estéril desde bloques mayores a 20 cm hasta tamaño arcilla es necesario utilizar varias técnicas para medir el tamaño y la composición de esta. Estos residuos pueden ser utilizados para la instalación de gaviones, que permitan mejorar la estabilidad de la mina.</w:t>
            </w:r>
            <w:r w:rsidRPr="00AB1C80">
              <w:rPr>
                <w:rFonts w:eastAsia="Times New Roman" w:cs="Arial"/>
                <w:sz w:val="20"/>
                <w:szCs w:val="20"/>
                <w:lang w:eastAsia="es-CO"/>
              </w:rPr>
              <w:br/>
            </w:r>
            <w:r w:rsidRPr="00AB1C80">
              <w:rPr>
                <w:rFonts w:eastAsia="Times New Roman" w:cs="Arial"/>
                <w:sz w:val="20"/>
                <w:szCs w:val="20"/>
                <w:lang w:eastAsia="es-CO"/>
              </w:rPr>
              <w:br/>
              <w:t>En el proceso de selección del material grueso se revisa cual tiene mayor contenido de cuarzo y presenta una textura masiva, característica importante para la utilización del residuo estéril como agregado de construcción.</w:t>
            </w:r>
          </w:p>
        </w:tc>
      </w:tr>
      <w:tr w:rsidR="00225621" w:rsidRPr="00AB1C80" w14:paraId="0591F377" w14:textId="77777777" w:rsidTr="00225621">
        <w:trPr>
          <w:trHeight w:val="20"/>
          <w:jc w:val="center"/>
        </w:trPr>
        <w:tc>
          <w:tcPr>
            <w:tcW w:w="2263" w:type="dxa"/>
            <w:shd w:val="clear" w:color="auto" w:fill="auto"/>
            <w:vAlign w:val="center"/>
            <w:hideMark/>
          </w:tcPr>
          <w:p w14:paraId="7F34CCC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Recycling Sterile Gold Mining Waste For Use As Construction Aggregate</w:t>
            </w:r>
          </w:p>
        </w:tc>
        <w:tc>
          <w:tcPr>
            <w:tcW w:w="2405" w:type="dxa"/>
            <w:shd w:val="clear" w:color="auto" w:fill="auto"/>
            <w:vAlign w:val="center"/>
            <w:hideMark/>
          </w:tcPr>
          <w:p w14:paraId="27A012CF"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Efraín Casadiego Quintero, Carlos Alberto Ríos-Reyes, Wilmar Gómez-Ríos</w:t>
            </w:r>
          </w:p>
        </w:tc>
        <w:tc>
          <w:tcPr>
            <w:tcW w:w="1263" w:type="dxa"/>
            <w:shd w:val="clear" w:color="auto" w:fill="auto"/>
            <w:vAlign w:val="center"/>
            <w:hideMark/>
          </w:tcPr>
          <w:p w14:paraId="42FE4B1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7956" w:type="dxa"/>
            <w:shd w:val="clear" w:color="auto" w:fill="auto"/>
            <w:vAlign w:val="center"/>
            <w:hideMark/>
          </w:tcPr>
          <w:p w14:paraId="2CC3583A" w14:textId="77777777"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t xml:space="preserve">El artículo analizado contiene información útil para la elaboración de la propuesta, ya que se invita a realizar estudios previos a muestras de roca provenientes de minas de oro en Vetas-Santander para ver la posibilidad de que sus estériles sean usados en obras civiles; estas (las muestras) se someten a análisis petrográficos, composicionales y de esfuerzos, dando a conocer las normas técnicas que debe cumplir los materiales estudiados. </w:t>
            </w:r>
          </w:p>
          <w:p w14:paraId="3092AA09" w14:textId="12499AC6"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br/>
              <w:t xml:space="preserve">Esta metodología agrega valor a la propuesta de lineamientos, ya que puede replicarse en otras minas donde se estime necesario evaluar la posibilidad de usar material estéril </w:t>
            </w:r>
            <w:r w:rsidRPr="00AB1C80">
              <w:rPr>
                <w:rFonts w:eastAsia="Times New Roman" w:cs="Arial"/>
                <w:sz w:val="20"/>
                <w:szCs w:val="20"/>
                <w:lang w:eastAsia="es-CO"/>
              </w:rPr>
              <w:lastRenderedPageBreak/>
              <w:t xml:space="preserve">como agregado de construcción en mezclas de cemento, pudiendo convertir los estériles en una alternativa como materiales de construcción, teniendo en cuenta los contenidos de sílice y sobre todo los contenidos de sulfuros, ya que son estos los que pueden comprometer la estructura y estabilidad del producto. </w:t>
            </w:r>
          </w:p>
        </w:tc>
      </w:tr>
    </w:tbl>
    <w:p w14:paraId="39A1C8F8" w14:textId="70046749" w:rsidR="00EB44C2" w:rsidRPr="00AB1C80" w:rsidRDefault="00EB44C2" w:rsidP="00AB1C80">
      <w:pPr>
        <w:pStyle w:val="Fuente"/>
        <w:spacing w:line="276" w:lineRule="auto"/>
        <w:rPr>
          <w:rFonts w:cs="Arial"/>
          <w:lang w:val="es-CO"/>
        </w:rPr>
      </w:pPr>
      <w:r w:rsidRPr="00AB1C80">
        <w:rPr>
          <w:rFonts w:cs="Arial"/>
          <w:lang w:val="es-CO"/>
        </w:rPr>
        <w:lastRenderedPageBreak/>
        <w:t>Fuente: ATG Ltda., 2021.</w:t>
      </w:r>
    </w:p>
    <w:p w14:paraId="5053AED1" w14:textId="77777777" w:rsidR="00EB44C2" w:rsidRPr="00AB1C80" w:rsidRDefault="00EB44C2" w:rsidP="00AB1C80">
      <w:pPr>
        <w:pStyle w:val="Descripcin"/>
        <w:spacing w:line="276" w:lineRule="auto"/>
        <w:rPr>
          <w:rFonts w:cs="Arial"/>
          <w:lang w:val="es-CO"/>
        </w:rPr>
      </w:pPr>
    </w:p>
    <w:p w14:paraId="74E1E93F" w14:textId="527B353F" w:rsidR="00EB44C2" w:rsidRPr="00AB1C80" w:rsidRDefault="00EB44C2" w:rsidP="00AB1C80">
      <w:pPr>
        <w:pStyle w:val="Descripcin"/>
        <w:spacing w:line="276" w:lineRule="auto"/>
        <w:rPr>
          <w:rFonts w:cs="Arial"/>
          <w:lang w:val="es-CO"/>
        </w:rPr>
      </w:pPr>
      <w:bookmarkStart w:id="52" w:name="_Ref86242238"/>
      <w:bookmarkStart w:id="53" w:name="_Toc86333012"/>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7</w:t>
      </w:r>
      <w:r w:rsidRPr="00AB1C80">
        <w:rPr>
          <w:rFonts w:cs="Arial"/>
          <w:lang w:val="es-CO"/>
        </w:rPr>
        <w:fldChar w:fldCharType="end"/>
      </w:r>
      <w:bookmarkEnd w:id="52"/>
      <w:r w:rsidRPr="00AB1C80">
        <w:rPr>
          <w:rFonts w:cs="Arial"/>
          <w:lang w:val="es-CO"/>
        </w:rPr>
        <w:t>. Revisión de información nacional por guías técnicas para la gestión y manejo de estériles.</w:t>
      </w:r>
      <w:bookmarkEnd w:id="53"/>
    </w:p>
    <w:tbl>
      <w:tblPr>
        <w:tblW w:w="13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2419"/>
        <w:gridCol w:w="1263"/>
        <w:gridCol w:w="7942"/>
      </w:tblGrid>
      <w:tr w:rsidR="00225621" w:rsidRPr="00AB1C80" w14:paraId="29880A38" w14:textId="77777777" w:rsidTr="00225621">
        <w:trPr>
          <w:trHeight w:val="20"/>
          <w:tblHeader/>
          <w:jc w:val="center"/>
        </w:trPr>
        <w:tc>
          <w:tcPr>
            <w:tcW w:w="2263" w:type="dxa"/>
            <w:shd w:val="clear" w:color="1E345C" w:fill="1E345C"/>
            <w:vAlign w:val="center"/>
            <w:hideMark/>
          </w:tcPr>
          <w:p w14:paraId="100DB0C6"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2419" w:type="dxa"/>
            <w:shd w:val="clear" w:color="1E345C" w:fill="1E345C"/>
            <w:vAlign w:val="center"/>
            <w:hideMark/>
          </w:tcPr>
          <w:p w14:paraId="7843442A"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63" w:type="dxa"/>
            <w:shd w:val="clear" w:color="1E345C" w:fill="1E345C"/>
            <w:vAlign w:val="center"/>
            <w:hideMark/>
          </w:tcPr>
          <w:p w14:paraId="479AEDDA"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942" w:type="dxa"/>
            <w:shd w:val="clear" w:color="1E345C" w:fill="1E345C"/>
            <w:vAlign w:val="center"/>
            <w:hideMark/>
          </w:tcPr>
          <w:p w14:paraId="1DA3A1EF"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1A486D93" w14:textId="77777777" w:rsidTr="00225621">
        <w:trPr>
          <w:trHeight w:val="20"/>
          <w:jc w:val="center"/>
        </w:trPr>
        <w:tc>
          <w:tcPr>
            <w:tcW w:w="2263" w:type="dxa"/>
            <w:shd w:val="clear" w:color="auto" w:fill="auto"/>
            <w:vAlign w:val="center"/>
            <w:hideMark/>
          </w:tcPr>
          <w:p w14:paraId="1DC9B23C"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Guía Metodológica para Estudios de Amenaza, Vulnerabilidad y Riesgo por Movimientos en Masa </w:t>
            </w:r>
          </w:p>
        </w:tc>
        <w:tc>
          <w:tcPr>
            <w:tcW w:w="2419" w:type="dxa"/>
            <w:shd w:val="clear" w:color="auto" w:fill="auto"/>
            <w:vAlign w:val="center"/>
            <w:hideMark/>
          </w:tcPr>
          <w:p w14:paraId="5DC77678"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Servicio Geológico Colombiano</w:t>
            </w:r>
          </w:p>
        </w:tc>
        <w:tc>
          <w:tcPr>
            <w:tcW w:w="1263" w:type="dxa"/>
            <w:shd w:val="clear" w:color="auto" w:fill="auto"/>
            <w:vAlign w:val="center"/>
            <w:hideMark/>
          </w:tcPr>
          <w:p w14:paraId="4818CF28"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2016</w:t>
            </w:r>
          </w:p>
        </w:tc>
        <w:tc>
          <w:tcPr>
            <w:tcW w:w="7942" w:type="dxa"/>
            <w:shd w:val="clear" w:color="auto" w:fill="auto"/>
            <w:vAlign w:val="center"/>
            <w:hideMark/>
          </w:tcPr>
          <w:p w14:paraId="7AD00B24" w14:textId="77777777"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t>La guía describe los lineamientos metodológicos para realizar estudios de riesgo por movimientos en masa a escala detallada o local, que se podría aplicar en la mayoría de las cabeceras municipales y centros poblados pequeños y medianos de Colombia. Las estructuras mineras (áreas extracción, áreas de almacenamientos de estériles, infraestructura, áreas de restauración y rehabilitación ecológica) por estar enclavadas territorialmente en los municipios, se considera o interpreta que los estudios geotécnicos de estabilidad de los depósitos de estériles mineros corresponden a estudios de Análisis de Amenaza por procesos de remoción en masa y que el desarrollo de la guía y sus procedimientos aplican o se pueden considerar parcialmente en gran parte de su estudio, en los lineamientos técnicos en el diseño y construcción de los depósitos de estériles.</w:t>
            </w:r>
            <w:r w:rsidRPr="00AB1C80">
              <w:rPr>
                <w:rFonts w:eastAsia="Times New Roman" w:cs="Arial"/>
                <w:sz w:val="20"/>
                <w:szCs w:val="20"/>
                <w:lang w:eastAsia="es-CO"/>
              </w:rPr>
              <w:br/>
            </w:r>
            <w:r w:rsidRPr="00AB1C80">
              <w:rPr>
                <w:rFonts w:eastAsia="Times New Roman" w:cs="Arial"/>
                <w:sz w:val="20"/>
                <w:szCs w:val="20"/>
                <w:lang w:eastAsia="es-CO"/>
              </w:rPr>
              <w:br/>
              <w:t xml:space="preserve">A través del  Servicio Geológico Colombia -SGC-, los estudios de exploración geología, minera y geotecnia y otros relacionados con ciencias de la tierra, como fin institucional los ha venido NORMALIZANDO, produciendo de manera técnica y científica resoluciones y guías que se han venido aplicando de manera paulatina en el tiempo, es por ello, que se considera que La Guía de Amenaza Vulnerabilidad  y Riesgo Por movimientos en masa del año 2016, aplica o se debe considerar en su implementación total o parcial para el estudio y diseño estable de materiales estériles mineros. </w:t>
            </w:r>
          </w:p>
        </w:tc>
      </w:tr>
      <w:tr w:rsidR="00225621" w:rsidRPr="00AB1C80" w14:paraId="5B7F21EE" w14:textId="77777777" w:rsidTr="00225621">
        <w:trPr>
          <w:trHeight w:val="20"/>
          <w:jc w:val="center"/>
        </w:trPr>
        <w:tc>
          <w:tcPr>
            <w:tcW w:w="2263" w:type="dxa"/>
            <w:shd w:val="clear" w:color="auto" w:fill="auto"/>
            <w:vAlign w:val="center"/>
            <w:hideMark/>
          </w:tcPr>
          <w:p w14:paraId="7684B409"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Minero Ambiental - Explotación</w:t>
            </w:r>
          </w:p>
        </w:tc>
        <w:tc>
          <w:tcPr>
            <w:tcW w:w="2419" w:type="dxa"/>
            <w:shd w:val="clear" w:color="auto" w:fill="auto"/>
            <w:vAlign w:val="center"/>
            <w:hideMark/>
          </w:tcPr>
          <w:p w14:paraId="5BFBC770"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Minas y Energía. Ministerio del Medio Ambiente</w:t>
            </w:r>
          </w:p>
        </w:tc>
        <w:tc>
          <w:tcPr>
            <w:tcW w:w="1263" w:type="dxa"/>
            <w:shd w:val="clear" w:color="auto" w:fill="auto"/>
            <w:noWrap/>
            <w:vAlign w:val="center"/>
            <w:hideMark/>
          </w:tcPr>
          <w:p w14:paraId="651EEB6D"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2001</w:t>
            </w:r>
          </w:p>
        </w:tc>
        <w:tc>
          <w:tcPr>
            <w:tcW w:w="7942" w:type="dxa"/>
            <w:shd w:val="clear" w:color="auto" w:fill="auto"/>
            <w:vAlign w:val="center"/>
            <w:hideMark/>
          </w:tcPr>
          <w:p w14:paraId="6E3AA955" w14:textId="582C6074"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t xml:space="preserve">En la guía minero ambiental se aborda de manera general la normatividad minera, ambiental y geológica, tramites mineros, medios e instrumentos ambientales, permisos, autorizaciones, competencias vigentes a la fecha de la expedición de la guía. En el </w:t>
            </w:r>
            <w:r w:rsidRPr="00AB1C80">
              <w:rPr>
                <w:rFonts w:eastAsia="Times New Roman" w:cs="Arial"/>
                <w:sz w:val="20"/>
                <w:szCs w:val="20"/>
                <w:lang w:eastAsia="es-CO"/>
              </w:rPr>
              <w:lastRenderedPageBreak/>
              <w:t>desarrollo del documento se evidencia que a partir de su capítulo de evaluación de impactos ambientales se considera de una manera directa la gestión y manejo del material estéril, al cual se hace alusión como disposición de sobrantes. Es de tener en cuenta que cada proyecto minero cuenta con particularidades únicas, por lo cual el manejo y gestión del material estéril también lo será. Esto dependiendo de las alternativas de manejo planteadas, ubicación del depósito de estéril, procesos de beneficio y transformación desarrollados, tecnología utilizada, variables ambientales, económicas y sociales.</w:t>
            </w:r>
            <w:r w:rsidRPr="00AB1C80">
              <w:rPr>
                <w:rFonts w:eastAsia="Times New Roman" w:cs="Arial"/>
                <w:sz w:val="20"/>
                <w:szCs w:val="20"/>
                <w:lang w:eastAsia="es-CO"/>
              </w:rPr>
              <w:br/>
            </w:r>
            <w:r w:rsidRPr="00AB1C80">
              <w:rPr>
                <w:rFonts w:eastAsia="Times New Roman" w:cs="Arial"/>
                <w:sz w:val="20"/>
                <w:szCs w:val="20"/>
                <w:lang w:eastAsia="es-CO"/>
              </w:rPr>
              <w:br/>
              <w:t>Para la evaluación de los impactos ambientales del componente aire, suelo, agua, paisaje etc. Se enuncian las actividades relacionadas al manejo del estéril sin ser explícitas en algunos casos, medidas de prevención control o mitigación. Es interesante como la guía aborda aspectos tales como las fuentes de generación de material estéril e impactos derivados en etapas como la exploración y explotación, estableciendo como actividades inherentes en la gestión y manejo del material estéril conllevan intrínsicamente impactos ambientales que deben ser minimizados mediante una adecuada planificación minera, prevención control y corrección, reduciendo su influencia sobre el medio natural. Por lo cual el guía minero ambiental se convierte en un documento de obligatoria consulta y consideración para la gestión minero ambiental de cualquier proyecto minero desde su concepción y a lo largo de todas las etapas de su ciclo de vida, ya que permite aportar en la identificación, evaluación y manejo de impactos ambientales derivados de la gestión de estériles que pueden presentar diferentes implicaciones durante el desarrollo del proyecto minero.</w:t>
            </w:r>
          </w:p>
        </w:tc>
      </w:tr>
      <w:tr w:rsidR="00225621" w:rsidRPr="00AB1C80" w14:paraId="100F40C4" w14:textId="77777777" w:rsidTr="00225621">
        <w:trPr>
          <w:trHeight w:val="20"/>
          <w:jc w:val="center"/>
        </w:trPr>
        <w:tc>
          <w:tcPr>
            <w:tcW w:w="2263" w:type="dxa"/>
            <w:shd w:val="clear" w:color="auto" w:fill="auto"/>
            <w:vAlign w:val="center"/>
            <w:hideMark/>
          </w:tcPr>
          <w:p w14:paraId="6D46177E"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Manejo de Estériles Finos y Grueso en la Minería Aurífera, Municipio de Marmato (Caldas).</w:t>
            </w:r>
          </w:p>
        </w:tc>
        <w:tc>
          <w:tcPr>
            <w:tcW w:w="2419" w:type="dxa"/>
            <w:shd w:val="clear" w:color="auto" w:fill="auto"/>
            <w:vAlign w:val="center"/>
            <w:hideMark/>
          </w:tcPr>
          <w:p w14:paraId="3500364F"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Corpocaldas </w:t>
            </w:r>
          </w:p>
        </w:tc>
        <w:tc>
          <w:tcPr>
            <w:tcW w:w="1263" w:type="dxa"/>
            <w:shd w:val="clear" w:color="auto" w:fill="auto"/>
            <w:noWrap/>
            <w:vAlign w:val="center"/>
            <w:hideMark/>
          </w:tcPr>
          <w:p w14:paraId="64305714"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2013</w:t>
            </w:r>
          </w:p>
        </w:tc>
        <w:tc>
          <w:tcPr>
            <w:tcW w:w="7942" w:type="dxa"/>
            <w:shd w:val="clear" w:color="auto" w:fill="auto"/>
            <w:vAlign w:val="center"/>
            <w:hideMark/>
          </w:tcPr>
          <w:p w14:paraId="2D898710" w14:textId="77777777" w:rsidR="00225621" w:rsidRPr="00AB1C80" w:rsidRDefault="00225621" w:rsidP="00AB1C80">
            <w:pPr>
              <w:spacing w:line="276" w:lineRule="auto"/>
              <w:rPr>
                <w:rFonts w:eastAsia="Times New Roman" w:cs="Arial"/>
                <w:sz w:val="20"/>
                <w:szCs w:val="20"/>
                <w:lang w:eastAsia="es-CO"/>
              </w:rPr>
            </w:pPr>
            <w:r w:rsidRPr="00AB1C80">
              <w:rPr>
                <w:rFonts w:eastAsia="Times New Roman" w:cs="Arial"/>
                <w:sz w:val="20"/>
                <w:szCs w:val="20"/>
                <w:lang w:eastAsia="es-CO"/>
              </w:rPr>
              <w:t xml:space="preserve">El documento analizado contiene de forma general definiciones y descripciones de algunos procesos en el manejo de estériles, también menciona algunos posibles usos que se le pueden dar a los estériles (Economía Circular) producidos por la actividad minera en Marmato-Caldas; sin embargo, no se profundiza en el diseño de fases, cálculos de equipos, análisis de riesgos, etc. Tampoco se menciona los volúmenes generados de estériles lo cual puede ser información que agregue valor a propuestas de aprovechamiento. Se describen procesos químicos para la destrucción y/o recuperación </w:t>
            </w:r>
            <w:r w:rsidRPr="00AB1C80">
              <w:rPr>
                <w:rFonts w:eastAsia="Times New Roman" w:cs="Arial"/>
                <w:sz w:val="20"/>
                <w:szCs w:val="20"/>
                <w:lang w:eastAsia="es-CO"/>
              </w:rPr>
              <w:lastRenderedPageBreak/>
              <w:t>del cianuro en los residuos de producción, adicionalmente se mencionan los efectos tóxicos de la presencia de metales pesados en la fauna, flora y salud humana.</w:t>
            </w:r>
          </w:p>
        </w:tc>
      </w:tr>
    </w:tbl>
    <w:p w14:paraId="340F0A62" w14:textId="19BE0B01" w:rsidR="00EB44C2" w:rsidRPr="00AB1C80" w:rsidRDefault="00EB44C2" w:rsidP="00AB1C80">
      <w:pPr>
        <w:pStyle w:val="Fuente"/>
        <w:spacing w:line="276" w:lineRule="auto"/>
        <w:rPr>
          <w:rFonts w:cs="Arial"/>
          <w:lang w:val="es-CO"/>
        </w:rPr>
      </w:pPr>
      <w:r w:rsidRPr="00AB1C80">
        <w:rPr>
          <w:rFonts w:cs="Arial"/>
          <w:lang w:val="es-CO"/>
        </w:rPr>
        <w:lastRenderedPageBreak/>
        <w:t>Fuente: ATG Ltda., 2021.</w:t>
      </w:r>
    </w:p>
    <w:p w14:paraId="7B26B9E6" w14:textId="6B5B50E6" w:rsidR="00EB44C2" w:rsidRPr="00AB1C80" w:rsidRDefault="00EB44C2" w:rsidP="00AB1C80">
      <w:pPr>
        <w:pStyle w:val="Descripcin"/>
        <w:spacing w:line="276" w:lineRule="auto"/>
        <w:rPr>
          <w:rFonts w:cs="Arial"/>
          <w:lang w:val="es-CO"/>
        </w:rPr>
      </w:pPr>
    </w:p>
    <w:p w14:paraId="37E62EE6" w14:textId="74FDBDEA" w:rsidR="00EB44C2" w:rsidRPr="00AB1C80" w:rsidRDefault="00EB44C2" w:rsidP="00AB1C80">
      <w:pPr>
        <w:pStyle w:val="Descripcin"/>
        <w:spacing w:line="276" w:lineRule="auto"/>
        <w:rPr>
          <w:rFonts w:cs="Arial"/>
          <w:lang w:val="es-CO"/>
        </w:rPr>
      </w:pPr>
      <w:bookmarkStart w:id="54" w:name="_Ref86242241"/>
      <w:bookmarkStart w:id="55" w:name="_Toc86333013"/>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8</w:t>
      </w:r>
      <w:r w:rsidRPr="00AB1C80">
        <w:rPr>
          <w:rFonts w:cs="Arial"/>
          <w:lang w:val="es-CO"/>
        </w:rPr>
        <w:fldChar w:fldCharType="end"/>
      </w:r>
      <w:bookmarkEnd w:id="54"/>
      <w:r w:rsidRPr="00AB1C80">
        <w:rPr>
          <w:rFonts w:cs="Arial"/>
          <w:lang w:val="es-CO"/>
        </w:rPr>
        <w:t>. Revisión de información nacional por presentaciones para la gestión y manejo de estériles.</w:t>
      </w:r>
      <w:bookmarkEnd w:id="55"/>
    </w:p>
    <w:tbl>
      <w:tblPr>
        <w:tblW w:w="138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4"/>
        <w:gridCol w:w="2403"/>
        <w:gridCol w:w="1423"/>
        <w:gridCol w:w="7798"/>
      </w:tblGrid>
      <w:tr w:rsidR="00225621" w:rsidRPr="00AB1C80" w14:paraId="0D74FEEA" w14:textId="77777777" w:rsidTr="00225621">
        <w:trPr>
          <w:trHeight w:val="20"/>
          <w:tblHeader/>
        </w:trPr>
        <w:tc>
          <w:tcPr>
            <w:tcW w:w="2264" w:type="dxa"/>
            <w:shd w:val="clear" w:color="1E345C" w:fill="1E345C"/>
            <w:vAlign w:val="center"/>
            <w:hideMark/>
          </w:tcPr>
          <w:p w14:paraId="207990A3"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2403" w:type="dxa"/>
            <w:shd w:val="clear" w:color="1E345C" w:fill="1E345C"/>
            <w:vAlign w:val="center"/>
            <w:hideMark/>
          </w:tcPr>
          <w:p w14:paraId="72AE73AF"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423" w:type="dxa"/>
            <w:shd w:val="clear" w:color="1E345C" w:fill="1E345C"/>
            <w:vAlign w:val="center"/>
            <w:hideMark/>
          </w:tcPr>
          <w:p w14:paraId="299902CD"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798" w:type="dxa"/>
            <w:shd w:val="clear" w:color="1E345C" w:fill="1E345C"/>
            <w:vAlign w:val="center"/>
            <w:hideMark/>
          </w:tcPr>
          <w:p w14:paraId="6E0D409F"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3228BA96" w14:textId="77777777" w:rsidTr="00225621">
        <w:trPr>
          <w:trHeight w:val="20"/>
        </w:trPr>
        <w:tc>
          <w:tcPr>
            <w:tcW w:w="2264" w:type="dxa"/>
            <w:shd w:val="clear" w:color="auto" w:fill="auto"/>
            <w:vAlign w:val="center"/>
            <w:hideMark/>
          </w:tcPr>
          <w:p w14:paraId="576D623A"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Manejo de Residuos en Minería: la Regulación Como Herramienta de Desarrollo</w:t>
            </w:r>
          </w:p>
        </w:tc>
        <w:tc>
          <w:tcPr>
            <w:tcW w:w="2403" w:type="dxa"/>
            <w:shd w:val="clear" w:color="auto" w:fill="auto"/>
            <w:vAlign w:val="center"/>
            <w:hideMark/>
          </w:tcPr>
          <w:p w14:paraId="1A5E3612"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Edna Patricia Gutiérrez Lozano</w:t>
            </w:r>
          </w:p>
        </w:tc>
        <w:tc>
          <w:tcPr>
            <w:tcW w:w="1423" w:type="dxa"/>
            <w:shd w:val="clear" w:color="auto" w:fill="auto"/>
            <w:vAlign w:val="center"/>
            <w:hideMark/>
          </w:tcPr>
          <w:p w14:paraId="2B4D12B4"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2014</w:t>
            </w:r>
          </w:p>
        </w:tc>
        <w:tc>
          <w:tcPr>
            <w:tcW w:w="7798" w:type="dxa"/>
            <w:shd w:val="clear" w:color="auto" w:fill="auto"/>
            <w:vAlign w:val="center"/>
            <w:hideMark/>
          </w:tcPr>
          <w:p w14:paraId="46D345C7" w14:textId="65BC79DA" w:rsidR="00225621" w:rsidRPr="00AB1C80" w:rsidRDefault="00225621" w:rsidP="00F65034">
            <w:pPr>
              <w:spacing w:line="276" w:lineRule="auto"/>
              <w:rPr>
                <w:rFonts w:eastAsia="Times New Roman" w:cs="Arial"/>
                <w:sz w:val="20"/>
                <w:szCs w:val="20"/>
                <w:lang w:eastAsia="es-CO"/>
              </w:rPr>
            </w:pPr>
            <w:r w:rsidRPr="00AB1C80">
              <w:rPr>
                <w:rFonts w:eastAsia="Times New Roman" w:cs="Arial"/>
                <w:sz w:val="20"/>
                <w:szCs w:val="20"/>
                <w:lang w:eastAsia="es-CO"/>
              </w:rPr>
              <w:t>Regulación sobre residuos de minería en Colombia puede darse con base en los casos exitosos de manejo de residuos en países mineros que tienen regulación al respecto. Es el caso de Australia, Estados Unidos, China, Chile, Canadá y España. Parte de ello será el producto del presente trabajo.</w:t>
            </w:r>
            <w:r w:rsidRPr="00AB1C80">
              <w:rPr>
                <w:rFonts w:eastAsia="Times New Roman" w:cs="Arial"/>
                <w:sz w:val="20"/>
                <w:szCs w:val="20"/>
                <w:lang w:eastAsia="es-CO"/>
              </w:rPr>
              <w:br/>
            </w:r>
            <w:r w:rsidRPr="00AB1C80">
              <w:rPr>
                <w:rFonts w:eastAsia="Times New Roman" w:cs="Arial"/>
                <w:sz w:val="20"/>
                <w:szCs w:val="20"/>
                <w:lang w:eastAsia="es-CO"/>
              </w:rPr>
              <w:br/>
              <w:t>Entre tanto, Estados Unidos es el único país que, a través de la EPA, a separado 20 tipos de residuos mineros (de acuerdo con el mineral explotado) denominados “residuos especiales” que no requieren un tratamiento o cuidado posterior al momento de la explotación e inicio de su disposición. Es el caso de aquellos estériles que no generan lixiviados, o drenaje ácido por ejemplo (no aparece la lista).</w:t>
            </w:r>
            <w:r w:rsidRPr="00AB1C80">
              <w:rPr>
                <w:rFonts w:eastAsia="Times New Roman" w:cs="Arial"/>
                <w:sz w:val="20"/>
                <w:szCs w:val="20"/>
                <w:lang w:eastAsia="es-CO"/>
              </w:rPr>
              <w:br/>
            </w:r>
            <w:r w:rsidRPr="00AB1C80">
              <w:rPr>
                <w:rFonts w:eastAsia="Times New Roman" w:cs="Arial"/>
                <w:sz w:val="20"/>
                <w:szCs w:val="20"/>
                <w:lang w:eastAsia="es-CO"/>
              </w:rPr>
              <w:br/>
              <w:t>Algo para destacar es que, en Colombia, desde la expedición del Código de Minas (2001) se ha definido la necesidad de gestionar los residuos en minería.  La gestión incluye su explotación misma y su disposición final formando parte importante del plan de cierre.</w:t>
            </w:r>
            <w:r w:rsidRPr="00AB1C80">
              <w:rPr>
                <w:rFonts w:eastAsia="Times New Roman" w:cs="Arial"/>
                <w:sz w:val="20"/>
                <w:szCs w:val="20"/>
                <w:lang w:eastAsia="es-CO"/>
              </w:rPr>
              <w:br/>
            </w:r>
            <w:r w:rsidRPr="00AB1C80">
              <w:rPr>
                <w:rFonts w:eastAsia="Times New Roman" w:cs="Arial"/>
                <w:sz w:val="20"/>
                <w:szCs w:val="20"/>
                <w:lang w:eastAsia="es-CO"/>
              </w:rPr>
              <w:br/>
              <w:t>Continuando con la búsqueda de normas o procedimientos para la gestión de estériles, se resalta que solo los TdR de la ANLA requieren información a detalle sobre el manejo de los estériles, independientemente de su naturaleza: estériles, escorias, relaves.</w:t>
            </w:r>
          </w:p>
        </w:tc>
      </w:tr>
    </w:tbl>
    <w:p w14:paraId="293B82D0" w14:textId="14A1FBEF" w:rsidR="00EB44C2" w:rsidRPr="00AB1C80" w:rsidRDefault="00EB44C2" w:rsidP="00AB1C80">
      <w:pPr>
        <w:pStyle w:val="Fuente"/>
        <w:spacing w:line="276" w:lineRule="auto"/>
        <w:rPr>
          <w:rFonts w:cs="Arial"/>
          <w:lang w:val="es-CO"/>
        </w:rPr>
      </w:pPr>
      <w:r w:rsidRPr="00AB1C80">
        <w:rPr>
          <w:rFonts w:cs="Arial"/>
          <w:lang w:val="es-CO"/>
        </w:rPr>
        <w:t>Fuente: ATG Ltda., 2021.</w:t>
      </w:r>
    </w:p>
    <w:p w14:paraId="4E65F148" w14:textId="62CBEF8B" w:rsidR="00EB44C2" w:rsidRPr="00AB1C80" w:rsidRDefault="00EB44C2" w:rsidP="00AB1C80">
      <w:pPr>
        <w:spacing w:line="276" w:lineRule="auto"/>
        <w:jc w:val="center"/>
        <w:rPr>
          <w:rFonts w:cs="Arial"/>
        </w:rPr>
      </w:pPr>
    </w:p>
    <w:p w14:paraId="2004DF34" w14:textId="782F45A9" w:rsidR="00EB44C2" w:rsidRPr="00AB1C80" w:rsidRDefault="00EB44C2" w:rsidP="00AB1C80">
      <w:pPr>
        <w:pStyle w:val="Descripcin"/>
        <w:spacing w:line="276" w:lineRule="auto"/>
        <w:rPr>
          <w:rFonts w:cs="Arial"/>
          <w:lang w:val="es-CO"/>
        </w:rPr>
      </w:pPr>
      <w:bookmarkStart w:id="56" w:name="_Ref86242243"/>
      <w:bookmarkStart w:id="57" w:name="_Toc86333014"/>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9</w:t>
      </w:r>
      <w:r w:rsidRPr="00AB1C80">
        <w:rPr>
          <w:rFonts w:cs="Arial"/>
          <w:lang w:val="es-CO"/>
        </w:rPr>
        <w:fldChar w:fldCharType="end"/>
      </w:r>
      <w:bookmarkEnd w:id="56"/>
      <w:r w:rsidRPr="00AB1C80">
        <w:rPr>
          <w:rFonts w:cs="Arial"/>
          <w:lang w:val="es-CO"/>
        </w:rPr>
        <w:t>. Revisión de información nacional por términos de referencia para la gestión y manejo de estériles.</w:t>
      </w:r>
      <w:bookmarkEnd w:id="57"/>
    </w:p>
    <w:tbl>
      <w:tblPr>
        <w:tblW w:w="138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4"/>
        <w:gridCol w:w="2414"/>
        <w:gridCol w:w="1417"/>
        <w:gridCol w:w="7793"/>
      </w:tblGrid>
      <w:tr w:rsidR="00225621" w:rsidRPr="00AB1C80" w14:paraId="42EBE0FC" w14:textId="77777777" w:rsidTr="00225621">
        <w:trPr>
          <w:trHeight w:val="20"/>
          <w:tblHeader/>
        </w:trPr>
        <w:tc>
          <w:tcPr>
            <w:tcW w:w="2264" w:type="dxa"/>
            <w:shd w:val="clear" w:color="1E345C" w:fill="1E345C"/>
            <w:vAlign w:val="center"/>
            <w:hideMark/>
          </w:tcPr>
          <w:p w14:paraId="135D17B8"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lastRenderedPageBreak/>
              <w:t>Nombre del Documento</w:t>
            </w:r>
          </w:p>
        </w:tc>
        <w:tc>
          <w:tcPr>
            <w:tcW w:w="2414" w:type="dxa"/>
            <w:shd w:val="clear" w:color="1E345C" w:fill="1E345C"/>
            <w:vAlign w:val="center"/>
            <w:hideMark/>
          </w:tcPr>
          <w:p w14:paraId="7563B2B3"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417" w:type="dxa"/>
            <w:shd w:val="clear" w:color="1E345C" w:fill="1E345C"/>
            <w:vAlign w:val="center"/>
            <w:hideMark/>
          </w:tcPr>
          <w:p w14:paraId="0CCB7A76"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793" w:type="dxa"/>
            <w:shd w:val="clear" w:color="1E345C" w:fill="1E345C"/>
            <w:vAlign w:val="center"/>
            <w:hideMark/>
          </w:tcPr>
          <w:p w14:paraId="7525B70A"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35FEEF8A" w14:textId="77777777" w:rsidTr="00225621">
        <w:trPr>
          <w:trHeight w:val="20"/>
        </w:trPr>
        <w:tc>
          <w:tcPr>
            <w:tcW w:w="2264" w:type="dxa"/>
            <w:shd w:val="clear" w:color="auto" w:fill="auto"/>
            <w:vAlign w:val="center"/>
            <w:hideMark/>
          </w:tcPr>
          <w:p w14:paraId="31D70FC2"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Términos de Referencia para la Elaboración del Estudio de Impacto Ambiental – EIA Proyectos de Explotación Minera</w:t>
            </w:r>
          </w:p>
        </w:tc>
        <w:tc>
          <w:tcPr>
            <w:tcW w:w="2414" w:type="dxa"/>
            <w:shd w:val="clear" w:color="auto" w:fill="auto"/>
            <w:vAlign w:val="center"/>
            <w:hideMark/>
          </w:tcPr>
          <w:p w14:paraId="2284534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ANLA</w:t>
            </w:r>
          </w:p>
        </w:tc>
        <w:tc>
          <w:tcPr>
            <w:tcW w:w="1417" w:type="dxa"/>
            <w:shd w:val="clear" w:color="auto" w:fill="auto"/>
            <w:vAlign w:val="center"/>
            <w:hideMark/>
          </w:tcPr>
          <w:p w14:paraId="497AACEB"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2016</w:t>
            </w:r>
          </w:p>
        </w:tc>
        <w:tc>
          <w:tcPr>
            <w:tcW w:w="7793" w:type="dxa"/>
            <w:shd w:val="clear" w:color="auto" w:fill="auto"/>
            <w:vAlign w:val="center"/>
            <w:hideMark/>
          </w:tcPr>
          <w:p w14:paraId="02489814" w14:textId="77777777" w:rsidR="00225621" w:rsidRPr="00AB1C80" w:rsidRDefault="00225621" w:rsidP="00F65034">
            <w:pPr>
              <w:spacing w:line="276" w:lineRule="auto"/>
              <w:rPr>
                <w:rFonts w:eastAsia="Times New Roman" w:cs="Arial"/>
                <w:sz w:val="20"/>
                <w:szCs w:val="20"/>
                <w:lang w:eastAsia="es-CO"/>
              </w:rPr>
            </w:pPr>
            <w:r w:rsidRPr="00AB1C80">
              <w:rPr>
                <w:rFonts w:eastAsia="Times New Roman" w:cs="Arial"/>
                <w:sz w:val="20"/>
                <w:szCs w:val="20"/>
                <w:lang w:eastAsia="es-CO"/>
              </w:rPr>
              <w:t>En el capítulo 3, los TdR se refieren al Manejo y disposición de sobrantes donde la autoridad solicita presentar el análisis sobre la alternativa de disposición final seleccionada, justificando su elección y ventajas sobre las demás; caracterización geoquímica del yacimiento para establecer la posibilidad de generación de DAM, incluyendo pruebas estáticas y cinéticas para diferentes estados de meteorización; proponer las obras de manejo según los resultados de generación de DAM; descripción detallada del manejo para prevenir contaminación de acuíferos antes, durante y después de la disposición final de los estériles; volúmenes a disponer en cada sitio y la ruta que sigue el equipo minero para llegar; cartografía de localización incluyendo planimetría y altimetría; descripción de obras previas a la disposición de estériles; análisis de estabilidad global (incluye suelo de fundación, factores de seguridad, riesgo ante cargas externas); parámetros de diseño a escala 1:5.000 o más detallada que incluya obras de adecuación del área como drenajes, obras de confinamiento, taludes; planos en planta y en perfil del botadero en sus diferentes etapas de ejecución hasta el diseño final; adecuación final y diseño paisajístico identificando el uso posterior.</w:t>
            </w:r>
          </w:p>
        </w:tc>
      </w:tr>
      <w:tr w:rsidR="00225621" w:rsidRPr="00AB1C80" w14:paraId="55D78859" w14:textId="77777777" w:rsidTr="00225621">
        <w:trPr>
          <w:trHeight w:val="20"/>
        </w:trPr>
        <w:tc>
          <w:tcPr>
            <w:tcW w:w="2264" w:type="dxa"/>
            <w:shd w:val="clear" w:color="auto" w:fill="auto"/>
            <w:vAlign w:val="center"/>
            <w:hideMark/>
          </w:tcPr>
          <w:p w14:paraId="44ACC696"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Términos de Referencia para la Elaboración del Estudio de Impacto Ambiental – EIA, Requerido para El Trámite de la Licencia Ambiental Global o Definitiva para Proyectos de Explotación de Pequeña Minería</w:t>
            </w:r>
          </w:p>
        </w:tc>
        <w:tc>
          <w:tcPr>
            <w:tcW w:w="2414" w:type="dxa"/>
            <w:shd w:val="clear" w:color="auto" w:fill="auto"/>
            <w:vAlign w:val="center"/>
            <w:hideMark/>
          </w:tcPr>
          <w:p w14:paraId="334B39DE"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Ambiente y Desarrollo Sostenible</w:t>
            </w:r>
          </w:p>
        </w:tc>
        <w:tc>
          <w:tcPr>
            <w:tcW w:w="1417" w:type="dxa"/>
            <w:shd w:val="clear" w:color="auto" w:fill="auto"/>
            <w:vAlign w:val="center"/>
            <w:hideMark/>
          </w:tcPr>
          <w:p w14:paraId="67F7B72A"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7793" w:type="dxa"/>
            <w:shd w:val="clear" w:color="auto" w:fill="auto"/>
            <w:vAlign w:val="center"/>
            <w:hideMark/>
          </w:tcPr>
          <w:p w14:paraId="253AA4F8" w14:textId="2A048B84" w:rsidR="00225621" w:rsidRPr="00AB1C80" w:rsidRDefault="00225621" w:rsidP="00F65034">
            <w:pPr>
              <w:spacing w:line="276" w:lineRule="auto"/>
              <w:rPr>
                <w:rFonts w:eastAsia="Times New Roman" w:cs="Arial"/>
                <w:sz w:val="20"/>
                <w:szCs w:val="20"/>
                <w:lang w:eastAsia="es-CO"/>
              </w:rPr>
            </w:pPr>
            <w:r w:rsidRPr="00AB1C80">
              <w:rPr>
                <w:rFonts w:eastAsia="Times New Roman" w:cs="Arial"/>
                <w:sz w:val="20"/>
                <w:szCs w:val="20"/>
                <w:lang w:eastAsia="es-CO"/>
              </w:rPr>
              <w:t>En los Términos de Referencia se presentan los aspectos a considerar para la elaboración del Estudio de Impacto Ambiental – EIA en proyectos de pequeña minería (es aquella que se realiza con herramientas e implementos simples de uso manual, accionados por la fuerza humana). Respecto al manejo y gestión del material estéril se solicita presentar las alternativas de disposición y manejo de este de manera general sin desarrollarlos detalladamente, por lo que es necesario incorporar en este tipo de documentos mayor profundidad desde el área minero-energética. Es claro que los términos de referencia son un documento relevante para buscar el desarrollo de proyectos de pequeña minería que incorporen sostenibilidad a través de la consecución del licenciamiento ambiental y mitigación de impactos asociados a la actividad minera.</w:t>
            </w:r>
          </w:p>
        </w:tc>
      </w:tr>
      <w:tr w:rsidR="00225621" w:rsidRPr="00AB1C80" w14:paraId="2E4BA4C0" w14:textId="77777777" w:rsidTr="00225621">
        <w:trPr>
          <w:trHeight w:val="20"/>
        </w:trPr>
        <w:tc>
          <w:tcPr>
            <w:tcW w:w="2264" w:type="dxa"/>
            <w:shd w:val="clear" w:color="auto" w:fill="auto"/>
            <w:vAlign w:val="center"/>
            <w:hideMark/>
          </w:tcPr>
          <w:p w14:paraId="3211C118"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Términos de Referencia Trabajo de Exploración, Programa Mínimo Exploratorio y </w:t>
            </w:r>
            <w:r w:rsidRPr="00AB1C80">
              <w:rPr>
                <w:rFonts w:eastAsia="Times New Roman" w:cs="Arial"/>
                <w:color w:val="000000"/>
                <w:sz w:val="20"/>
                <w:szCs w:val="20"/>
                <w:lang w:eastAsia="es-CO"/>
              </w:rPr>
              <w:lastRenderedPageBreak/>
              <w:t>Programa de Trabajos y Obras (PTO) para Materiales y Minerales Distintos del Espacio y Fondo Marino</w:t>
            </w:r>
          </w:p>
        </w:tc>
        <w:tc>
          <w:tcPr>
            <w:tcW w:w="2414" w:type="dxa"/>
            <w:shd w:val="clear" w:color="auto" w:fill="auto"/>
            <w:vAlign w:val="center"/>
            <w:hideMark/>
          </w:tcPr>
          <w:p w14:paraId="6E29851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Agencia Nacional de Minería</w:t>
            </w:r>
          </w:p>
        </w:tc>
        <w:tc>
          <w:tcPr>
            <w:tcW w:w="1417" w:type="dxa"/>
            <w:shd w:val="clear" w:color="auto" w:fill="auto"/>
            <w:vAlign w:val="center"/>
            <w:hideMark/>
          </w:tcPr>
          <w:p w14:paraId="49E2C4BA"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2018</w:t>
            </w:r>
          </w:p>
        </w:tc>
        <w:tc>
          <w:tcPr>
            <w:tcW w:w="7793" w:type="dxa"/>
            <w:shd w:val="clear" w:color="auto" w:fill="auto"/>
            <w:vAlign w:val="center"/>
            <w:hideMark/>
          </w:tcPr>
          <w:p w14:paraId="1BA1EE9C" w14:textId="77777777" w:rsidR="00225621" w:rsidRPr="00AB1C80" w:rsidRDefault="00225621" w:rsidP="00F65034">
            <w:pPr>
              <w:spacing w:line="276" w:lineRule="auto"/>
              <w:jc w:val="center"/>
              <w:rPr>
                <w:rFonts w:eastAsia="Times New Roman" w:cs="Arial"/>
                <w:sz w:val="20"/>
                <w:szCs w:val="20"/>
                <w:lang w:eastAsia="es-CO"/>
              </w:rPr>
            </w:pPr>
            <w:r w:rsidRPr="00AB1C80">
              <w:rPr>
                <w:rFonts w:eastAsia="Times New Roman" w:cs="Arial"/>
                <w:sz w:val="20"/>
                <w:szCs w:val="20"/>
                <w:lang w:eastAsia="es-CO"/>
              </w:rPr>
              <w:t>La información que debe contener el PTO está distribuida de la siguiente manera:</w:t>
            </w:r>
            <w:r w:rsidRPr="00AB1C80">
              <w:rPr>
                <w:rFonts w:eastAsia="Times New Roman" w:cs="Arial"/>
                <w:sz w:val="20"/>
                <w:szCs w:val="20"/>
                <w:lang w:eastAsia="es-CO"/>
              </w:rPr>
              <w:br/>
              <w:t>1. Estudio de mercados</w:t>
            </w:r>
            <w:r w:rsidRPr="00AB1C80">
              <w:rPr>
                <w:rFonts w:eastAsia="Times New Roman" w:cs="Arial"/>
                <w:sz w:val="20"/>
                <w:szCs w:val="20"/>
                <w:lang w:eastAsia="es-CO"/>
              </w:rPr>
              <w:br/>
              <w:t>2. Diseño y planeamiento minero</w:t>
            </w:r>
            <w:r w:rsidRPr="00AB1C80">
              <w:rPr>
                <w:rFonts w:eastAsia="Times New Roman" w:cs="Arial"/>
                <w:sz w:val="20"/>
                <w:szCs w:val="20"/>
                <w:lang w:eastAsia="es-CO"/>
              </w:rPr>
              <w:br/>
              <w:t>3. Beneficio y transformación de minerales</w:t>
            </w:r>
            <w:r w:rsidRPr="00AB1C80">
              <w:rPr>
                <w:rFonts w:eastAsia="Times New Roman" w:cs="Arial"/>
                <w:sz w:val="20"/>
                <w:szCs w:val="20"/>
                <w:lang w:eastAsia="es-CO"/>
              </w:rPr>
              <w:br/>
            </w:r>
            <w:r w:rsidRPr="00AB1C80">
              <w:rPr>
                <w:rFonts w:eastAsia="Times New Roman" w:cs="Arial"/>
                <w:sz w:val="20"/>
                <w:szCs w:val="20"/>
                <w:lang w:eastAsia="es-CO"/>
              </w:rPr>
              <w:lastRenderedPageBreak/>
              <w:t>4. Construcción y montaje</w:t>
            </w:r>
            <w:r w:rsidRPr="00AB1C80">
              <w:rPr>
                <w:rFonts w:eastAsia="Times New Roman" w:cs="Arial"/>
                <w:sz w:val="20"/>
                <w:szCs w:val="20"/>
                <w:lang w:eastAsia="es-CO"/>
              </w:rPr>
              <w:br/>
              <w:t>5. Evaluación financiera del proyecto</w:t>
            </w:r>
            <w:r w:rsidRPr="00AB1C80">
              <w:rPr>
                <w:rFonts w:eastAsia="Times New Roman" w:cs="Arial"/>
                <w:sz w:val="20"/>
                <w:szCs w:val="20"/>
                <w:lang w:eastAsia="es-CO"/>
              </w:rPr>
              <w:br/>
              <w:t>6. Estudio de impacto ambiental</w:t>
            </w:r>
            <w:r w:rsidRPr="00AB1C80">
              <w:rPr>
                <w:rFonts w:eastAsia="Times New Roman" w:cs="Arial"/>
                <w:sz w:val="20"/>
                <w:szCs w:val="20"/>
                <w:lang w:eastAsia="es-CO"/>
              </w:rPr>
              <w:br/>
              <w:t>7. Programa de trabajos y obras de explotación e informes</w:t>
            </w:r>
            <w:r w:rsidRPr="00AB1C80">
              <w:rPr>
                <w:rFonts w:eastAsia="Times New Roman" w:cs="Arial"/>
                <w:sz w:val="20"/>
                <w:szCs w:val="20"/>
                <w:lang w:eastAsia="es-CO"/>
              </w:rPr>
              <w:br/>
              <w:t>En otra instancia, se debe presentar el plan de obras de cierre de la explotación y abandono de los montajes y de infraestructura con cronograma y presupuesto proyectado y será evaluado por la ANM.</w:t>
            </w:r>
          </w:p>
        </w:tc>
      </w:tr>
    </w:tbl>
    <w:p w14:paraId="44B182AF" w14:textId="75F39392" w:rsidR="00EB44C2" w:rsidRPr="00AB1C80" w:rsidRDefault="00EB44C2" w:rsidP="00AB1C80">
      <w:pPr>
        <w:pStyle w:val="Fuente"/>
        <w:spacing w:line="276" w:lineRule="auto"/>
        <w:rPr>
          <w:rFonts w:cs="Arial"/>
          <w:lang w:val="es-CO"/>
        </w:rPr>
      </w:pPr>
      <w:r w:rsidRPr="00AB1C80">
        <w:rPr>
          <w:rFonts w:cs="Arial"/>
          <w:lang w:val="es-CO"/>
        </w:rPr>
        <w:lastRenderedPageBreak/>
        <w:t>Fuente: ATG Ltda., 2021.</w:t>
      </w:r>
    </w:p>
    <w:p w14:paraId="4184D5A4" w14:textId="5A64543C" w:rsidR="00225621" w:rsidRPr="00AB1C80" w:rsidRDefault="00225621" w:rsidP="00AB1C80">
      <w:pPr>
        <w:spacing w:line="276" w:lineRule="auto"/>
        <w:jc w:val="center"/>
        <w:rPr>
          <w:rFonts w:cs="Arial"/>
        </w:rPr>
      </w:pPr>
    </w:p>
    <w:p w14:paraId="5600618E" w14:textId="77777777" w:rsidR="00225621" w:rsidRPr="00AB1C80" w:rsidRDefault="00225621" w:rsidP="00AB1C80">
      <w:pPr>
        <w:spacing w:line="276" w:lineRule="auto"/>
        <w:jc w:val="left"/>
        <w:rPr>
          <w:rFonts w:cs="Arial"/>
        </w:rPr>
      </w:pPr>
      <w:r w:rsidRPr="00AB1C80">
        <w:rPr>
          <w:rFonts w:cs="Arial"/>
        </w:rPr>
        <w:br w:type="page"/>
      </w:r>
    </w:p>
    <w:p w14:paraId="6CB958E1" w14:textId="0A1C1B48" w:rsidR="00341B75" w:rsidRPr="00AB1C80" w:rsidRDefault="00341B75" w:rsidP="00AB1C80">
      <w:pPr>
        <w:pStyle w:val="Descripcin"/>
        <w:spacing w:line="276" w:lineRule="auto"/>
        <w:rPr>
          <w:rFonts w:cs="Arial"/>
          <w:lang w:val="es-CO"/>
        </w:rPr>
      </w:pPr>
      <w:bookmarkStart w:id="58" w:name="_Ref86242245"/>
      <w:bookmarkStart w:id="59" w:name="_Toc86333015"/>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10</w:t>
      </w:r>
      <w:r w:rsidRPr="00AB1C80">
        <w:rPr>
          <w:rFonts w:cs="Arial"/>
          <w:lang w:val="es-CO"/>
        </w:rPr>
        <w:fldChar w:fldCharType="end"/>
      </w:r>
      <w:bookmarkEnd w:id="58"/>
      <w:r w:rsidRPr="00AB1C80">
        <w:rPr>
          <w:rFonts w:cs="Arial"/>
          <w:lang w:val="es-CO"/>
        </w:rPr>
        <w:t>. Revisión de información nacional por tesis para la gestión y manejo de estériles.</w:t>
      </w:r>
      <w:bookmarkEnd w:id="59"/>
    </w:p>
    <w:tbl>
      <w:tblPr>
        <w:tblW w:w="1388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1"/>
        <w:gridCol w:w="2127"/>
        <w:gridCol w:w="1417"/>
        <w:gridCol w:w="7793"/>
      </w:tblGrid>
      <w:tr w:rsidR="00225621" w:rsidRPr="00AB1C80" w14:paraId="19C88E7E" w14:textId="77777777" w:rsidTr="00225621">
        <w:trPr>
          <w:trHeight w:val="645"/>
        </w:trPr>
        <w:tc>
          <w:tcPr>
            <w:tcW w:w="2551" w:type="dxa"/>
            <w:shd w:val="clear" w:color="1E345C" w:fill="1E345C"/>
            <w:vAlign w:val="center"/>
            <w:hideMark/>
          </w:tcPr>
          <w:p w14:paraId="683D3346"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2127" w:type="dxa"/>
            <w:shd w:val="clear" w:color="1E345C" w:fill="1E345C"/>
            <w:vAlign w:val="center"/>
            <w:hideMark/>
          </w:tcPr>
          <w:p w14:paraId="0EE4E577"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417" w:type="dxa"/>
            <w:shd w:val="clear" w:color="1E345C" w:fill="1E345C"/>
            <w:vAlign w:val="center"/>
            <w:hideMark/>
          </w:tcPr>
          <w:p w14:paraId="7E43C252"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793" w:type="dxa"/>
            <w:shd w:val="clear" w:color="1E345C" w:fill="1E345C"/>
            <w:vAlign w:val="center"/>
            <w:hideMark/>
          </w:tcPr>
          <w:p w14:paraId="0882B78F"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01C701BB" w14:textId="77777777" w:rsidTr="00225621">
        <w:trPr>
          <w:trHeight w:val="2805"/>
        </w:trPr>
        <w:tc>
          <w:tcPr>
            <w:tcW w:w="2551" w:type="dxa"/>
            <w:shd w:val="clear" w:color="auto" w:fill="auto"/>
            <w:vAlign w:val="center"/>
            <w:hideMark/>
          </w:tcPr>
          <w:p w14:paraId="35B22C04"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Evaluación del Aprovechamiento de Estériles de Carbón Mediante Integración de Materiales Orgánicos en Suelos de Zonas Afectadas por la Minera en el Municipio de Guachetá.</w:t>
            </w:r>
          </w:p>
        </w:tc>
        <w:tc>
          <w:tcPr>
            <w:tcW w:w="2127" w:type="dxa"/>
            <w:shd w:val="clear" w:color="auto" w:fill="auto"/>
            <w:vAlign w:val="center"/>
            <w:hideMark/>
          </w:tcPr>
          <w:p w14:paraId="0F4F640E"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Laura Mercedes Jiménez Ballesteros </w:t>
            </w:r>
          </w:p>
        </w:tc>
        <w:tc>
          <w:tcPr>
            <w:tcW w:w="1417" w:type="dxa"/>
            <w:shd w:val="clear" w:color="auto" w:fill="auto"/>
            <w:vAlign w:val="center"/>
            <w:hideMark/>
          </w:tcPr>
          <w:p w14:paraId="73BE3550"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7793" w:type="dxa"/>
            <w:shd w:val="clear" w:color="auto" w:fill="auto"/>
            <w:vAlign w:val="center"/>
            <w:hideMark/>
          </w:tcPr>
          <w:p w14:paraId="63104229" w14:textId="77777777" w:rsidR="00225621" w:rsidRPr="00AB1C80" w:rsidRDefault="00225621" w:rsidP="00AE4D25">
            <w:pPr>
              <w:spacing w:line="276" w:lineRule="auto"/>
              <w:rPr>
                <w:rFonts w:eastAsia="Times New Roman" w:cs="Arial"/>
                <w:sz w:val="20"/>
                <w:szCs w:val="20"/>
                <w:lang w:eastAsia="es-CO"/>
              </w:rPr>
            </w:pPr>
            <w:r w:rsidRPr="00AB1C80">
              <w:rPr>
                <w:rFonts w:eastAsia="Times New Roman" w:cs="Arial"/>
                <w:sz w:val="20"/>
                <w:szCs w:val="20"/>
                <w:lang w:eastAsia="es-CO"/>
              </w:rPr>
              <w:t>Se establece mediante un estudio de caso, como el material estéril generado en la minería de carbón puede ser usado en la conformación de sustratos para el crecimiento de pasto en procesos, agrícolas, ganaderos y de recuperación paisajística de distintas áreas. Es interesante como todas las mezclas del material dieron resultados positivos para el crecimiento de pasto, Estos resultados deben ser abordados a mayor profundidad mediante el desarrollo de proyectos piloto y estudios puntuales que permitan evaluar más variables y su aplicación en otros proyectos mineros.</w:t>
            </w:r>
            <w:r w:rsidRPr="00AB1C80">
              <w:rPr>
                <w:rFonts w:eastAsia="Times New Roman" w:cs="Arial"/>
                <w:sz w:val="20"/>
                <w:szCs w:val="20"/>
                <w:lang w:eastAsia="es-CO"/>
              </w:rPr>
              <w:br/>
            </w:r>
            <w:r w:rsidRPr="00AB1C80">
              <w:rPr>
                <w:rFonts w:eastAsia="Times New Roman" w:cs="Arial"/>
                <w:sz w:val="20"/>
                <w:szCs w:val="20"/>
                <w:lang w:eastAsia="es-CO"/>
              </w:rPr>
              <w:br/>
              <w:t>Es imperativo tener en cuenta que el volumen de estéril generado en la minería de carbón es significativo, y que el sustrato generado requiere solo una proporción de este, por lo cual esta alternativa de uso podría ser una de varias para lograr el uso manejo, y gestión adecuada del estéril minero mediante el aprovechamiento del mismo en la recuperación de suelos.</w:t>
            </w:r>
          </w:p>
        </w:tc>
      </w:tr>
    </w:tbl>
    <w:p w14:paraId="6F679467" w14:textId="1D67E9DA" w:rsidR="00EB44C2" w:rsidRPr="00AB1C80" w:rsidRDefault="00341B75" w:rsidP="00AB1C80">
      <w:pPr>
        <w:pStyle w:val="Fuente"/>
        <w:spacing w:line="276" w:lineRule="auto"/>
        <w:rPr>
          <w:rFonts w:cs="Arial"/>
          <w:lang w:val="es-CO"/>
        </w:rPr>
      </w:pPr>
      <w:r w:rsidRPr="00AB1C80">
        <w:rPr>
          <w:rFonts w:cs="Arial"/>
          <w:lang w:val="es-CO"/>
        </w:rPr>
        <w:t>Fuente: ATG Ltda., 2021.</w:t>
      </w:r>
    </w:p>
    <w:p w14:paraId="15D1EFD3" w14:textId="77777777" w:rsidR="00EB44C2" w:rsidRPr="00AB1C80" w:rsidRDefault="00EB44C2" w:rsidP="00AB1C80">
      <w:pPr>
        <w:spacing w:line="276" w:lineRule="auto"/>
        <w:rPr>
          <w:rFonts w:cs="Arial"/>
          <w:color w:val="000000" w:themeColor="text1"/>
        </w:rPr>
        <w:sectPr w:rsidR="00EB44C2" w:rsidRPr="00AB1C80" w:rsidSect="00EB44C2">
          <w:pgSz w:w="15840" w:h="12240" w:orient="landscape"/>
          <w:pgMar w:top="1701" w:right="1418" w:bottom="1701" w:left="1418" w:header="709" w:footer="709" w:gutter="0"/>
          <w:cols w:space="708"/>
          <w:docGrid w:linePitch="360"/>
        </w:sectPr>
      </w:pPr>
    </w:p>
    <w:p w14:paraId="0A005A3C" w14:textId="188FB8E2" w:rsidR="00A3534F" w:rsidRPr="00AB1C80" w:rsidRDefault="00B45A4F" w:rsidP="00AB1C80">
      <w:pPr>
        <w:pStyle w:val="Ttulo4"/>
        <w:spacing w:line="276" w:lineRule="auto"/>
        <w:rPr>
          <w:rFonts w:ascii="Arial" w:hAnsi="Arial"/>
        </w:rPr>
      </w:pPr>
      <w:bookmarkStart w:id="60" w:name="_Toc86332923"/>
      <w:r w:rsidRPr="00AB1C80">
        <w:rPr>
          <w:rFonts w:ascii="Arial" w:hAnsi="Arial"/>
        </w:rPr>
        <w:lastRenderedPageBreak/>
        <w:t>Análisis de la temática</w:t>
      </w:r>
      <w:bookmarkEnd w:id="60"/>
      <w:r w:rsidRPr="00AB1C80">
        <w:rPr>
          <w:rFonts w:ascii="Arial" w:hAnsi="Arial"/>
        </w:rPr>
        <w:t xml:space="preserve"> </w:t>
      </w:r>
    </w:p>
    <w:p w14:paraId="5CB46574" w14:textId="174DF5DD" w:rsidR="00F151C7" w:rsidRPr="00AB1C80" w:rsidRDefault="00F151C7" w:rsidP="00AB1C80">
      <w:pPr>
        <w:spacing w:line="276" w:lineRule="auto"/>
        <w:rPr>
          <w:rFonts w:cs="Arial"/>
          <w:color w:val="000000" w:themeColor="text1"/>
        </w:rPr>
      </w:pPr>
    </w:p>
    <w:p w14:paraId="78F39C8F" w14:textId="77777777" w:rsidR="0085440C" w:rsidRPr="00AB1C80" w:rsidRDefault="0085440C" w:rsidP="00AB1C80">
      <w:pPr>
        <w:spacing w:line="276" w:lineRule="auto"/>
        <w:rPr>
          <w:rFonts w:cs="Arial"/>
        </w:rPr>
      </w:pPr>
      <w:r w:rsidRPr="00AB1C80">
        <w:rPr>
          <w:rFonts w:cs="Arial"/>
        </w:rPr>
        <w:t>La gestión y manejo del material estéril por parte de los titulares mineros es y debe ser abordada desde dos sectores: el minero y el ambiental, teniendo referentes normativos que lo mencionan y/o establecen consideraciones básicas de carácter técnico, principalmente enfocadas en disponer adecuadamente el estéril mediante el diseño y la construcción de escombreras, o rellenos. A diferencia de otros países como Chile, España, entre otros, hasta el momento, en Colombia no existe un referente puntual que establezca estándares o los aspectos necesarios para una gestión integral del estéril considerando todas las etapas del ciclo de vida del proyecto minero como son exploración, construcción y montaje, explotación y, cierre y abandono.</w:t>
      </w:r>
    </w:p>
    <w:p w14:paraId="34CA20BF" w14:textId="77777777" w:rsidR="0085440C" w:rsidRPr="00AB1C80" w:rsidRDefault="0085440C" w:rsidP="00AB1C80">
      <w:pPr>
        <w:spacing w:line="276" w:lineRule="auto"/>
        <w:rPr>
          <w:rFonts w:cs="Arial"/>
        </w:rPr>
      </w:pPr>
    </w:p>
    <w:p w14:paraId="49571089" w14:textId="77777777" w:rsidR="0085440C" w:rsidRPr="00AB1C80" w:rsidRDefault="0085440C" w:rsidP="00AB1C80">
      <w:pPr>
        <w:spacing w:line="276" w:lineRule="auto"/>
        <w:rPr>
          <w:rFonts w:cs="Arial"/>
        </w:rPr>
      </w:pPr>
      <w:r w:rsidRPr="00AB1C80">
        <w:rPr>
          <w:rFonts w:cs="Arial"/>
        </w:rPr>
        <w:t>En el desarrollo de la presente consultoría se ha comprobado que los proyectos mineros desarrollados en Colombia deben cumplir con la elaboración y entrega de dos documentos técnicos como son el Plan de Trabajos y Obras – PTO con el fin de obtener la autorización de operación por parte de la autoridad minera (en este caso la Agencia Nacional de Minería – ANM o Secretaría de Minas en algunos departamentos) y el Estudio de Impacto Ambiental para obtener la Licencia Ambiental por parte de la autoridad ambiental (Autoridad Nacional de Licencias Ambientales – ANLA para proyectos de gran minería y Corporaciones Autónomas Regionales para proyectos de mediana y pequeña minería).</w:t>
      </w:r>
    </w:p>
    <w:p w14:paraId="2C2226BF" w14:textId="77777777" w:rsidR="0085440C" w:rsidRPr="00AB1C80" w:rsidRDefault="0085440C" w:rsidP="00AB1C80">
      <w:pPr>
        <w:spacing w:line="276" w:lineRule="auto"/>
        <w:rPr>
          <w:rFonts w:cs="Arial"/>
        </w:rPr>
      </w:pPr>
    </w:p>
    <w:p w14:paraId="35353219" w14:textId="77777777" w:rsidR="0085440C" w:rsidRPr="00AB1C80" w:rsidRDefault="0085440C" w:rsidP="00AB1C80">
      <w:pPr>
        <w:spacing w:line="276" w:lineRule="auto"/>
        <w:rPr>
          <w:rFonts w:cs="Arial"/>
        </w:rPr>
      </w:pPr>
      <w:r w:rsidRPr="00AB1C80">
        <w:rPr>
          <w:rFonts w:cs="Arial"/>
        </w:rPr>
        <w:t>Tanto el sector minero como el sector ambiental cuentan con términos de referencia para la presentación de dichos estudios y como su denominación lo aclara, se convierten en una referencia para que el titular pueda planear y ejecutar técnicamente un proyecto minero.</w:t>
      </w:r>
    </w:p>
    <w:p w14:paraId="54CFB236" w14:textId="77777777" w:rsidR="0085440C" w:rsidRPr="00AB1C80" w:rsidRDefault="0085440C" w:rsidP="00AB1C80">
      <w:pPr>
        <w:spacing w:line="276" w:lineRule="auto"/>
        <w:rPr>
          <w:rFonts w:cs="Arial"/>
        </w:rPr>
      </w:pPr>
    </w:p>
    <w:p w14:paraId="3EF4A63F" w14:textId="77777777" w:rsidR="0085440C" w:rsidRPr="00AB1C80" w:rsidRDefault="0085440C" w:rsidP="00AB1C80">
      <w:pPr>
        <w:spacing w:line="276" w:lineRule="auto"/>
        <w:rPr>
          <w:rFonts w:cs="Arial"/>
        </w:rPr>
      </w:pPr>
      <w:r w:rsidRPr="00AB1C80">
        <w:rPr>
          <w:rFonts w:cs="Arial"/>
        </w:rPr>
        <w:t>En relación con los términos de referencia para la presentación del Programa Mínimo Exploratorio y Programa de Trabajos y Obras – PTO, acogidos mediante la Resolución 299 del 13 de junio de 2018, se establece que el titular debe presentar inicialmente un programa mínimo exploratorio y posterior a ello, debe presentar lo siguiente:</w:t>
      </w:r>
    </w:p>
    <w:p w14:paraId="4A9A968D" w14:textId="77777777" w:rsidR="0085440C" w:rsidRPr="00AB1C80" w:rsidRDefault="0085440C" w:rsidP="00AB1C80">
      <w:pPr>
        <w:spacing w:line="276" w:lineRule="auto"/>
        <w:rPr>
          <w:rFonts w:cs="Arial"/>
        </w:rPr>
      </w:pPr>
    </w:p>
    <w:p w14:paraId="278E8CFF" w14:textId="77777777" w:rsidR="0085440C" w:rsidRPr="00AB1C80" w:rsidRDefault="0085440C" w:rsidP="00AB1C80">
      <w:pPr>
        <w:pStyle w:val="Prrafodelista"/>
        <w:numPr>
          <w:ilvl w:val="0"/>
          <w:numId w:val="17"/>
        </w:numPr>
        <w:spacing w:line="276" w:lineRule="auto"/>
        <w:rPr>
          <w:rFonts w:cs="Arial"/>
        </w:rPr>
      </w:pPr>
      <w:r w:rsidRPr="00AB1C80">
        <w:rPr>
          <w:rFonts w:cs="Arial"/>
        </w:rPr>
        <w:t>Fase I. Exploración Geológica de Superficie</w:t>
      </w:r>
    </w:p>
    <w:p w14:paraId="22C3CA16" w14:textId="77777777" w:rsidR="0085440C" w:rsidRPr="00AB1C80" w:rsidRDefault="0085440C" w:rsidP="00AB1C80">
      <w:pPr>
        <w:pStyle w:val="Prrafodelista"/>
        <w:numPr>
          <w:ilvl w:val="0"/>
          <w:numId w:val="17"/>
        </w:numPr>
        <w:spacing w:line="276" w:lineRule="auto"/>
        <w:rPr>
          <w:rFonts w:cs="Arial"/>
        </w:rPr>
      </w:pPr>
      <w:r w:rsidRPr="00AB1C80">
        <w:rPr>
          <w:rFonts w:cs="Arial"/>
        </w:rPr>
        <w:t>Fase II. Exploración Geológica del Subsuelo</w:t>
      </w:r>
    </w:p>
    <w:p w14:paraId="4C2C715A" w14:textId="77777777" w:rsidR="0085440C" w:rsidRPr="00AB1C80" w:rsidRDefault="0085440C" w:rsidP="00AB1C80">
      <w:pPr>
        <w:pStyle w:val="Prrafodelista"/>
        <w:numPr>
          <w:ilvl w:val="0"/>
          <w:numId w:val="17"/>
        </w:numPr>
        <w:spacing w:line="276" w:lineRule="auto"/>
        <w:rPr>
          <w:rFonts w:cs="Arial"/>
        </w:rPr>
      </w:pPr>
      <w:r w:rsidRPr="00AB1C80">
        <w:rPr>
          <w:rFonts w:cs="Arial"/>
        </w:rPr>
        <w:t>Fase III. Evaluación y Modelo Geológico</w:t>
      </w:r>
    </w:p>
    <w:p w14:paraId="60056ED9" w14:textId="77777777" w:rsidR="0085440C" w:rsidRPr="00AB1C80" w:rsidRDefault="0085440C" w:rsidP="00AB1C80">
      <w:pPr>
        <w:pStyle w:val="Prrafodelista"/>
        <w:numPr>
          <w:ilvl w:val="0"/>
          <w:numId w:val="17"/>
        </w:numPr>
        <w:spacing w:line="276" w:lineRule="auto"/>
        <w:rPr>
          <w:rFonts w:cs="Arial"/>
        </w:rPr>
      </w:pPr>
      <w:r w:rsidRPr="00AB1C80">
        <w:rPr>
          <w:rFonts w:cs="Arial"/>
        </w:rPr>
        <w:t>Fase IV. Programa de Trabajos y Obras</w:t>
      </w:r>
    </w:p>
    <w:p w14:paraId="4B7A5CEA" w14:textId="77777777" w:rsidR="0085440C" w:rsidRPr="00AB1C80" w:rsidRDefault="0085440C" w:rsidP="00AB1C80">
      <w:pPr>
        <w:spacing w:line="276" w:lineRule="auto"/>
        <w:rPr>
          <w:rFonts w:cs="Arial"/>
        </w:rPr>
      </w:pPr>
    </w:p>
    <w:p w14:paraId="304B4DEF" w14:textId="77777777" w:rsidR="0085440C" w:rsidRPr="00AB1C80" w:rsidRDefault="0085440C" w:rsidP="00AB1C80">
      <w:pPr>
        <w:spacing w:line="276" w:lineRule="auto"/>
        <w:rPr>
          <w:rFonts w:cs="Arial"/>
        </w:rPr>
      </w:pPr>
      <w:r w:rsidRPr="00AB1C80">
        <w:rPr>
          <w:rFonts w:cs="Arial"/>
        </w:rPr>
        <w:lastRenderedPageBreak/>
        <w:t>La anterior estructura se concentra en la claridad para definir y garantizar los recursos y reservas, así como en el método de explotación a emplear, el proceso de beneficio, la construcción y montaje que incluye la infraestructura de soporte y equipo minero a utilizar y la evaluación financiera del proyecto, dándole todo el peso de conocimiento al mineral económicamente explotable. Entre tanto, se toca sutil o tangencialmente la gestión y el manejo de estériles en la Fase II donde el estudio geotécnico es el componente que debe proveer la información necesaria para hacer el análisis y diseño que garantice la adecuada disposición de estériles. También, de manera tangencial el manejo de estériles se tiene en cuenta en la Fase IV en el Diseño y Planeamiento de la explotación, así: “</w:t>
      </w:r>
      <w:r w:rsidRPr="00AB1C80">
        <w:rPr>
          <w:rFonts w:cs="Arial"/>
          <w:i/>
        </w:rPr>
        <w:t xml:space="preserve">se hará la descripción de las actividades principales en la operación minera... Igualmente se hará el secuenciamiento de avance de los </w:t>
      </w:r>
      <w:r w:rsidRPr="00AB1C80">
        <w:rPr>
          <w:rFonts w:cs="Arial"/>
          <w:b/>
          <w:i/>
        </w:rPr>
        <w:t>botaderos</w:t>
      </w:r>
      <w:r w:rsidRPr="00AB1C80">
        <w:rPr>
          <w:rFonts w:cs="Arial"/>
          <w:i/>
        </w:rPr>
        <w:t xml:space="preserve"> y retrollenados, el balance de materiales...</w:t>
      </w:r>
      <w:r w:rsidRPr="00AB1C80">
        <w:rPr>
          <w:rFonts w:cs="Arial"/>
        </w:rPr>
        <w:t>” También en lo relacionado con la Construcción y Montaje: Instalaciones de soporte minero: “</w:t>
      </w:r>
      <w:r w:rsidRPr="00AB1C80">
        <w:rPr>
          <w:rFonts w:cs="Arial"/>
          <w:i/>
        </w:rPr>
        <w:t xml:space="preserve">se hará prediseños y descripciones de las obras que permitan la evaluación técnica y económica de alternativas de almacenamiento, beneficio, manejo y cargue de mineral y </w:t>
      </w:r>
      <w:r w:rsidRPr="00AB1C80">
        <w:rPr>
          <w:rFonts w:cs="Arial"/>
          <w:b/>
          <w:i/>
        </w:rPr>
        <w:t>estéril</w:t>
      </w:r>
      <w:r w:rsidRPr="00AB1C80">
        <w:rPr>
          <w:rFonts w:cs="Arial"/>
          <w:i/>
        </w:rPr>
        <w:t xml:space="preserve"> …</w:t>
      </w:r>
      <w:r w:rsidRPr="00AB1C80">
        <w:rPr>
          <w:rFonts w:cs="Arial"/>
        </w:rPr>
        <w:t>”</w:t>
      </w:r>
    </w:p>
    <w:p w14:paraId="53F983E5" w14:textId="77777777" w:rsidR="0085440C" w:rsidRPr="00AB1C80" w:rsidRDefault="0085440C" w:rsidP="00AB1C80">
      <w:pPr>
        <w:spacing w:line="276" w:lineRule="auto"/>
        <w:rPr>
          <w:rFonts w:cs="Arial"/>
        </w:rPr>
      </w:pPr>
    </w:p>
    <w:p w14:paraId="2645B944" w14:textId="77777777" w:rsidR="0085440C" w:rsidRPr="00AB1C80" w:rsidRDefault="0085440C" w:rsidP="00AB1C80">
      <w:pPr>
        <w:spacing w:line="276" w:lineRule="auto"/>
        <w:rPr>
          <w:rFonts w:cs="Arial"/>
        </w:rPr>
      </w:pPr>
      <w:r w:rsidRPr="00AB1C80">
        <w:rPr>
          <w:rFonts w:cs="Arial"/>
        </w:rPr>
        <w:t xml:space="preserve">Por lo anterior, los Términos de Referencia para presentación del Programa de Trabajos y Obras - PTO no incluyen información relevante sobre la gestión y manejo adecuado de estériles relacionados con aspectos como el área donde se van a disponer, su composición química, la geometría de diseño de botaderos, el monitoreo que se debe hacer durante su construcción (para tomar medidas en el cierre), el análisis geotécnico del diseño planteado, las características geomecánicas de la roca base (capacidad portante), el modelo geotécnico-geomecánico para la toma de decisiones (alertas tempranas), el análisis de estabilidad con base en el cálculo de factores de seguridad, las obras anexas a la conformación de botaderos como las necesarias para manejo de agua, las vías de acceso al botadero (pensando en un plan de cierre) y un sinnúmero de parámetros que en otras latitudes se encuentran debidamente reglamentados (Chile, Perú, Unión Europea, por ejemplo). </w:t>
      </w:r>
    </w:p>
    <w:p w14:paraId="5BE12DB5" w14:textId="77777777" w:rsidR="0085440C" w:rsidRPr="00AB1C80" w:rsidRDefault="0085440C" w:rsidP="00AB1C80">
      <w:pPr>
        <w:spacing w:line="276" w:lineRule="auto"/>
        <w:rPr>
          <w:rFonts w:cs="Arial"/>
        </w:rPr>
      </w:pPr>
    </w:p>
    <w:p w14:paraId="68A367F2" w14:textId="77777777" w:rsidR="0085440C" w:rsidRPr="00AB1C80" w:rsidRDefault="0085440C" w:rsidP="00AB1C80">
      <w:pPr>
        <w:spacing w:line="276" w:lineRule="auto"/>
        <w:rPr>
          <w:rFonts w:cs="Arial"/>
        </w:rPr>
      </w:pPr>
      <w:r w:rsidRPr="00AB1C80">
        <w:rPr>
          <w:rFonts w:cs="Arial"/>
          <w:bCs/>
        </w:rPr>
        <w:t>Los Términos de Referencia para presentación del Programa de Trabajos y Obras - PTO en la Fase IV, en donde se solicita un prediseño y secuenciamiento del avance de las escombreras no entrelazan la información requerida en las tres primeras fases (</w:t>
      </w:r>
      <w:r w:rsidRPr="00AB1C80">
        <w:rPr>
          <w:rFonts w:cs="Arial"/>
        </w:rPr>
        <w:t xml:space="preserve">Fase I. Exploración Geológica de Superficie; Fase II. Exploración Geológica de Subsuelo; Fase III. Evaluación y Modelo Geológico); las tres primeras fases requieren información relacionada con geología, geoquímica, hidrogeología, geotecnia del área de interés. Lo anterior debe servir para integrar la gestión de estériles en el proyecto minero y lograr involucrar estas variables tanto en la </w:t>
      </w:r>
      <w:r w:rsidRPr="00AB1C80">
        <w:rPr>
          <w:rFonts w:cs="Arial"/>
        </w:rPr>
        <w:lastRenderedPageBreak/>
        <w:t>aprobación de la selección de la ubicación y la geometría de los botaderos a construir como la garantía para lograr una perpetuidad luego de su construcción, teniendo en cuenta que el monitoreo de estabilidad disminuirá en frecuencia al terminar la etapa de explotación.</w:t>
      </w:r>
    </w:p>
    <w:p w14:paraId="5FD79E08" w14:textId="77777777" w:rsidR="0085440C" w:rsidRPr="00AB1C80" w:rsidRDefault="0085440C" w:rsidP="00AB1C80">
      <w:pPr>
        <w:spacing w:line="276" w:lineRule="auto"/>
        <w:rPr>
          <w:rFonts w:cs="Arial"/>
        </w:rPr>
      </w:pPr>
    </w:p>
    <w:p w14:paraId="6DD6810E" w14:textId="77777777" w:rsidR="0085440C" w:rsidRPr="00AB1C80" w:rsidRDefault="0085440C" w:rsidP="00AB1C80">
      <w:pPr>
        <w:spacing w:line="276" w:lineRule="auto"/>
        <w:rPr>
          <w:rFonts w:cs="Arial"/>
        </w:rPr>
      </w:pPr>
      <w:r w:rsidRPr="00AB1C80">
        <w:rPr>
          <w:rFonts w:cs="Arial"/>
        </w:rPr>
        <w:t>Un factor fundamental para la gestión y manejo del material estéril corresponde a su caracterización, ya que, a partir del conocimiento de sus propiedades físicas, químicas y geomecánicas se pueden plantear y formular las posibles alternativas de uso y manejo, que comprenden su disposición en escombreras o un aprovechamiento mediante su uso en el proyecto minero o por fuera de este.</w:t>
      </w:r>
    </w:p>
    <w:p w14:paraId="5921E25B" w14:textId="77777777" w:rsidR="0085440C" w:rsidRPr="00AB1C80" w:rsidRDefault="0085440C" w:rsidP="00AB1C80">
      <w:pPr>
        <w:spacing w:line="276" w:lineRule="auto"/>
        <w:rPr>
          <w:rFonts w:cs="Arial"/>
        </w:rPr>
      </w:pPr>
    </w:p>
    <w:p w14:paraId="03F5A909" w14:textId="77777777" w:rsidR="0085440C" w:rsidRPr="00AB1C80" w:rsidRDefault="0085440C" w:rsidP="00AB1C80">
      <w:pPr>
        <w:spacing w:line="276" w:lineRule="auto"/>
        <w:rPr>
          <w:rFonts w:cs="Arial"/>
        </w:rPr>
      </w:pPr>
      <w:r w:rsidRPr="00AB1C80">
        <w:rPr>
          <w:rFonts w:cs="Arial"/>
        </w:rPr>
        <w:t>La caracterización a su vez como lo plantea Gutiérrez (2014), permite determinar la posibilidad de generación de Drenaje Ácido Minero y/o procesos de lixiviación que desemboque en la contaminación de las fuentes hídricas y el suelo.</w:t>
      </w:r>
    </w:p>
    <w:p w14:paraId="026267EF" w14:textId="77777777" w:rsidR="0085440C" w:rsidRPr="00AB1C80" w:rsidRDefault="0085440C" w:rsidP="00AB1C80">
      <w:pPr>
        <w:spacing w:line="276" w:lineRule="auto"/>
        <w:rPr>
          <w:rFonts w:cs="Arial"/>
        </w:rPr>
      </w:pPr>
    </w:p>
    <w:p w14:paraId="1439EF01" w14:textId="77777777" w:rsidR="0085440C" w:rsidRPr="00AB1C80" w:rsidRDefault="0085440C" w:rsidP="00AB1C80">
      <w:pPr>
        <w:spacing w:line="276" w:lineRule="auto"/>
        <w:rPr>
          <w:rFonts w:cs="Arial"/>
        </w:rPr>
      </w:pPr>
      <w:r w:rsidRPr="00AB1C80">
        <w:rPr>
          <w:rFonts w:cs="Arial"/>
        </w:rPr>
        <w:t>Dentro de las actividades de manejo del estéril existen múltiples variables de carácter técnico, económico, legal, social y ambiental particulares que condicionan su gestión. Lo anterior surge porque cada proyecto minero dada su condición geológica, su ubicación geográfica, el método de explotación seleccionado, el área de influencia, los recursos y las reservas estimadas, la filosofía de la empresa minera, entre muchos otros, lo convierten en una operación única y casi que irrepetible, así se explote un mismo mineral en proyectos diferentes en una misma región.</w:t>
      </w:r>
    </w:p>
    <w:p w14:paraId="0D92AF2B" w14:textId="77777777" w:rsidR="0085440C" w:rsidRPr="00AB1C80" w:rsidRDefault="0085440C" w:rsidP="00AB1C80">
      <w:pPr>
        <w:spacing w:line="276" w:lineRule="auto"/>
        <w:rPr>
          <w:rFonts w:cs="Arial"/>
        </w:rPr>
      </w:pPr>
    </w:p>
    <w:p w14:paraId="4F56B8C5" w14:textId="77777777" w:rsidR="0085440C" w:rsidRPr="00AB1C80" w:rsidRDefault="0085440C" w:rsidP="00AB1C80">
      <w:pPr>
        <w:spacing w:line="276" w:lineRule="auto"/>
        <w:rPr>
          <w:rFonts w:cs="Arial"/>
        </w:rPr>
      </w:pPr>
      <w:r w:rsidRPr="00AB1C80">
        <w:rPr>
          <w:rFonts w:cs="Arial"/>
        </w:rPr>
        <w:t>En el Código de Minas (Ley 0685 de 2001) actualmente vigente, no se menciona el termino estéril, pero en algunos artículos se puede inferir su relación con la temática sin profundizar en ella. En el Artículo 61 se evidencian de manera implícita conceptos similares a la definición actual de estéril contenida en el Glosario Técnico Minero, como lo son el mineral en liga intima, asociado o subproducto de la explotación minera cuya cantidad no sería económicamente explotable en forma separada; que, en caso de ser aprovechado, estaría sujeto al pago de regalías según lo establecido en el artículo 227 del Código.</w:t>
      </w:r>
    </w:p>
    <w:p w14:paraId="4CFB4797" w14:textId="77777777" w:rsidR="0085440C" w:rsidRPr="00AB1C80" w:rsidRDefault="0085440C" w:rsidP="00AB1C80">
      <w:pPr>
        <w:spacing w:line="276" w:lineRule="auto"/>
        <w:rPr>
          <w:rFonts w:cs="Arial"/>
        </w:rPr>
      </w:pPr>
    </w:p>
    <w:p w14:paraId="5EF64684" w14:textId="77777777" w:rsidR="0085440C" w:rsidRPr="00AB1C80" w:rsidRDefault="0085440C" w:rsidP="00AB1C80">
      <w:pPr>
        <w:spacing w:line="276" w:lineRule="auto"/>
        <w:rPr>
          <w:rFonts w:cs="Arial"/>
        </w:rPr>
      </w:pPr>
      <w:r w:rsidRPr="00AB1C80">
        <w:rPr>
          <w:rFonts w:cs="Arial"/>
        </w:rPr>
        <w:t xml:space="preserve">En la revisión realizada se evidenció que los documentos de referencia o normativa del sector ambiental presentan un nivel de profundidad y detalle superior a los elaborados desde el sector minero-energético. En los Términos de Referencia para la elaboración del Estudio de Impacto Ambiental para proyectos de explotación minera, documento base para obtener el permiso ambiental, sea Licencia Ambiental o la aprobación de Plan de Manejo Ambiental, no se presentan los términos como </w:t>
      </w:r>
      <w:r w:rsidRPr="00AB1C80">
        <w:rPr>
          <w:rFonts w:cs="Arial"/>
        </w:rPr>
        <w:lastRenderedPageBreak/>
        <w:t>“botadero” o “estériles”. En cambio, se relacionan los términos escombrera, escombros y ganga, estableciendo aspectos relacionados al manejo y disposición de sobrantes correspondientes a la caracterización del material, cuantificación, alternativas de disposición, criterios de diseño de la escombrera, caracterización del área de influencia, planes y programas (Plan de Manejo Ambiental, Programa de Seguimiento y Monitoreo, Plan de Cierre). A su vez en los Términos de Referencia para la elaboración del Estudio de Impacto Ambiental – EIA, requerido para el trámite de la licencia ambiental ordinaria, global o definitiva para proyectos de explotación de pequeña minería, elaborados por el Ministerio de Ambiente y Desarrollo Sostenible en el año 2020, también se abordan algunos de estos aspectos referentes en relación a la gestión y manejo del material estéril como son la descripción del proyecto, diseños, manejo y disposición de los sobrantes.</w:t>
      </w:r>
    </w:p>
    <w:p w14:paraId="28FC2DEA" w14:textId="77777777" w:rsidR="0085440C" w:rsidRPr="00AB1C80" w:rsidRDefault="0085440C" w:rsidP="00AB1C80">
      <w:pPr>
        <w:spacing w:line="276" w:lineRule="auto"/>
        <w:rPr>
          <w:rFonts w:cs="Arial"/>
        </w:rPr>
      </w:pPr>
    </w:p>
    <w:p w14:paraId="6D7A3C6D" w14:textId="77777777" w:rsidR="0085440C" w:rsidRPr="00AB1C80" w:rsidRDefault="0085440C" w:rsidP="00AB1C80">
      <w:pPr>
        <w:spacing w:line="276" w:lineRule="auto"/>
        <w:rPr>
          <w:rFonts w:cs="Arial"/>
        </w:rPr>
      </w:pPr>
      <w:r w:rsidRPr="00AB1C80">
        <w:rPr>
          <w:rFonts w:cs="Arial"/>
        </w:rPr>
        <w:t>A partir de los diálogos realizados con las empresas mineras en el desarrollo de la presente consultoría se ha identificado que lo establecido en los instrumentos ambientales de sus proyectos se ha vuelto la hoja de ruta para la gestión y manejo del material estéril. En el caso de las autoridades ambientales, el instrumento ambiental aprobado es la base para realizar el seguimiento y control al manejo dado al estéril en los proyectos mineros.</w:t>
      </w:r>
    </w:p>
    <w:p w14:paraId="056D1A50" w14:textId="77777777" w:rsidR="0085440C" w:rsidRPr="00AB1C80" w:rsidRDefault="0085440C" w:rsidP="00AB1C80">
      <w:pPr>
        <w:spacing w:line="276" w:lineRule="auto"/>
        <w:rPr>
          <w:rFonts w:cs="Arial"/>
        </w:rPr>
      </w:pPr>
    </w:p>
    <w:p w14:paraId="45971427" w14:textId="77777777" w:rsidR="0085440C" w:rsidRPr="00AB1C80" w:rsidRDefault="0085440C" w:rsidP="00AB1C80">
      <w:pPr>
        <w:spacing w:line="276" w:lineRule="auto"/>
        <w:rPr>
          <w:rFonts w:cs="Arial"/>
        </w:rPr>
      </w:pPr>
      <w:r w:rsidRPr="00AB1C80">
        <w:rPr>
          <w:rFonts w:cs="Arial"/>
        </w:rPr>
        <w:t>La Guía Minero Ambiental de Explotación elaborada en su momento por el Ministerio de Minas y Energía y Ministerio del Medio Ambiente en el año 2001, buscó ser una herramienta de orientación conceptual y metodológica obligatoria para mejorar la gestión, manejo y desempeño de los proyectos mineros en su etapa de explotación integrando el componente minero y ambiental. En este documento se identifican algunas fuentes de generación, medidas de manejo y mitigación de los impactos ambientales generados por la gestión y manejo del material estéril, que en su mayoría no se encuentra de manera explícita y deben ser inferidas.</w:t>
      </w:r>
    </w:p>
    <w:p w14:paraId="4FECF2A2" w14:textId="77777777" w:rsidR="0085440C" w:rsidRPr="00AB1C80" w:rsidRDefault="0085440C" w:rsidP="00AB1C80">
      <w:pPr>
        <w:spacing w:line="276" w:lineRule="auto"/>
        <w:rPr>
          <w:rFonts w:cs="Arial"/>
        </w:rPr>
      </w:pPr>
    </w:p>
    <w:p w14:paraId="50252238" w14:textId="77777777" w:rsidR="0085440C" w:rsidRPr="00AB1C80" w:rsidRDefault="0085440C" w:rsidP="00AB1C80">
      <w:pPr>
        <w:spacing w:line="276" w:lineRule="auto"/>
        <w:rPr>
          <w:rFonts w:cs="Arial"/>
        </w:rPr>
      </w:pPr>
      <w:r w:rsidRPr="00AB1C80">
        <w:rPr>
          <w:rFonts w:cs="Arial"/>
        </w:rPr>
        <w:t>En la “</w:t>
      </w:r>
      <w:r w:rsidRPr="00AB1C80">
        <w:rPr>
          <w:rFonts w:cs="Arial"/>
          <w:i/>
          <w:iCs/>
        </w:rPr>
        <w:t>Guía metodológica para estudios de amenaza, vulnerabilidad y riesgo por movimientos de remoción en masa</w:t>
      </w:r>
      <w:r w:rsidRPr="00AB1C80">
        <w:rPr>
          <w:rFonts w:cs="Arial"/>
        </w:rPr>
        <w:t xml:space="preserve">” elaborada por un convenio entre el Servicio Geológico Colombiano -SGC y la Universidad Nacional de Colombia en cumplimiento de la Ley 1523 de 2012 sobre la gestión del riesgo de desastres, se definen y presentan aspectos relacionados al análisis y cálculo de riesgos, amenazas y vulnerabilidad que pueden ser transversales para la gestión del material estéril mediante su disposición en escombreras. </w:t>
      </w:r>
    </w:p>
    <w:p w14:paraId="3B9E915D" w14:textId="77777777" w:rsidR="0085440C" w:rsidRPr="00AB1C80" w:rsidRDefault="0085440C" w:rsidP="00AB1C80">
      <w:pPr>
        <w:spacing w:line="276" w:lineRule="auto"/>
        <w:rPr>
          <w:rFonts w:cs="Arial"/>
        </w:rPr>
      </w:pPr>
    </w:p>
    <w:p w14:paraId="24DDCC9E" w14:textId="4D3B8084" w:rsidR="004E0048" w:rsidRPr="00AB1C80" w:rsidRDefault="0085440C" w:rsidP="00AB1C80">
      <w:pPr>
        <w:spacing w:line="276" w:lineRule="auto"/>
        <w:rPr>
          <w:rFonts w:cs="Arial"/>
          <w:color w:val="000000" w:themeColor="text1"/>
        </w:rPr>
      </w:pPr>
      <w:r w:rsidRPr="00AB1C80">
        <w:rPr>
          <w:rFonts w:cs="Arial"/>
          <w:color w:val="000000" w:themeColor="text1"/>
          <w:szCs w:val="24"/>
        </w:rPr>
        <w:t xml:space="preserve">Es claro que desde el sector minero es posible el desarrollo de proyectos enfocados a la formulación de alternativas de gestión y manejo del estéril, sea desde su </w:t>
      </w:r>
      <w:r w:rsidRPr="00AB1C80">
        <w:rPr>
          <w:rFonts w:cs="Arial"/>
          <w:color w:val="000000" w:themeColor="text1"/>
          <w:szCs w:val="24"/>
        </w:rPr>
        <w:lastRenderedPageBreak/>
        <w:t>disposición o desde su aprovechamiento, que pueden verse limitados por condiciones técnicas correspondientes a características y volumen generado, tecnología disponible, capacidad económica, recursos disponibles, vacíos legales y/o jurídicos.</w:t>
      </w:r>
    </w:p>
    <w:p w14:paraId="5B97B882" w14:textId="77777777" w:rsidR="004E0048" w:rsidRPr="00AB1C80" w:rsidRDefault="004E0048" w:rsidP="00AB1C80">
      <w:pPr>
        <w:spacing w:line="276" w:lineRule="auto"/>
        <w:rPr>
          <w:rFonts w:cs="Arial"/>
          <w:color w:val="000000" w:themeColor="text1"/>
        </w:rPr>
      </w:pPr>
    </w:p>
    <w:p w14:paraId="743C3D7F" w14:textId="49B8F617" w:rsidR="00A3534F" w:rsidRPr="00AB1C80" w:rsidRDefault="00A3534F" w:rsidP="00AB1C80">
      <w:pPr>
        <w:pStyle w:val="Ttulo4"/>
        <w:spacing w:line="276" w:lineRule="auto"/>
        <w:rPr>
          <w:rFonts w:ascii="Arial" w:hAnsi="Arial"/>
        </w:rPr>
      </w:pPr>
      <w:bookmarkStart w:id="61" w:name="_Toc86332924"/>
      <w:r w:rsidRPr="00AB1C80">
        <w:rPr>
          <w:rFonts w:ascii="Arial" w:hAnsi="Arial"/>
        </w:rPr>
        <w:t>Marco normativo</w:t>
      </w:r>
      <w:bookmarkEnd w:id="61"/>
    </w:p>
    <w:p w14:paraId="5ECA7135" w14:textId="647C087F" w:rsidR="00A77D7E" w:rsidRPr="00AB1C80" w:rsidRDefault="00A77D7E" w:rsidP="00AB1C80">
      <w:pPr>
        <w:spacing w:line="276" w:lineRule="auto"/>
        <w:rPr>
          <w:rFonts w:cs="Arial"/>
          <w:color w:val="000000" w:themeColor="text1"/>
          <w:szCs w:val="24"/>
        </w:rPr>
      </w:pPr>
    </w:p>
    <w:p w14:paraId="18ADC5D5"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la actualidad Colombia no cuenta con un marco normativo enfocado exclusivamente al manejo del estéril minero; la legislación que aborda la temática ha sido elaborada desde el sector minero y ambiental, presentando diferentes niveles de detalle.</w:t>
      </w:r>
    </w:p>
    <w:p w14:paraId="5D8B45BB" w14:textId="77777777" w:rsidR="00A254F6" w:rsidRPr="00AB1C80" w:rsidRDefault="00A254F6" w:rsidP="00AB1C80">
      <w:pPr>
        <w:spacing w:line="276" w:lineRule="auto"/>
        <w:rPr>
          <w:rFonts w:cs="Arial"/>
          <w:color w:val="000000" w:themeColor="text1"/>
          <w:szCs w:val="24"/>
        </w:rPr>
      </w:pPr>
    </w:p>
    <w:p w14:paraId="42FF1078"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Mediante la Ley 99 de 1993 se estructura el desarrollo normativo de la licencia ambiental, instrumento de planificación que permite realizar el análisis de los proyectos con el fin de identificar los posibles impactos ambientales generados por su ejecución. La gestión del material estéril está directamente ligada a lo estipulado en el instrumento ambiental otorgado mediante la presentación y aprobación de un Estudio de Impacto Ambiental o Plan de Manejo Ambiental, documentos en los que se establecen las disposiciones relacionadas al manejo del estéril a lo largo del proyecto minero. Este mismo año el Ministerio de Minas y Energía publicó el Decreto 2222 Reglamento de Higiene y Seguridad en las Labores Mineras a Cielo Abierto, que estableció obligaciones respecto al manejo del material estéril en botaderos (escombreras), permitiendo contar por primera vez con un referente técnico relacionado a gestión del estéril.</w:t>
      </w:r>
    </w:p>
    <w:p w14:paraId="4E2796E5" w14:textId="77777777" w:rsidR="00A254F6" w:rsidRPr="00AB1C80" w:rsidRDefault="00A254F6" w:rsidP="00AB1C80">
      <w:pPr>
        <w:spacing w:line="276" w:lineRule="auto"/>
        <w:rPr>
          <w:rFonts w:cs="Arial"/>
          <w:color w:val="000000" w:themeColor="text1"/>
          <w:szCs w:val="24"/>
        </w:rPr>
      </w:pPr>
    </w:p>
    <w:p w14:paraId="5FD4BE15"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El Código de Minas (Ley 0685 de 2001) actualmente vigente, relaciona de manera implícita el termino estéril en el Articulo 61 estableciendo algunas directrices respecto a su explotación:</w:t>
      </w:r>
    </w:p>
    <w:p w14:paraId="7F8D253C" w14:textId="77777777" w:rsidR="00A254F6" w:rsidRPr="00AB1C80" w:rsidRDefault="00A254F6" w:rsidP="00AB1C80">
      <w:pPr>
        <w:spacing w:line="276" w:lineRule="auto"/>
        <w:rPr>
          <w:rFonts w:cs="Arial"/>
          <w:color w:val="000000" w:themeColor="text1"/>
          <w:szCs w:val="24"/>
        </w:rPr>
      </w:pPr>
    </w:p>
    <w:p w14:paraId="64DA676E" w14:textId="77777777" w:rsidR="00A254F6" w:rsidRPr="00AB1C80" w:rsidRDefault="00A254F6" w:rsidP="00AB1C80">
      <w:pPr>
        <w:spacing w:line="276" w:lineRule="auto"/>
        <w:ind w:left="708"/>
        <w:rPr>
          <w:rFonts w:cs="Arial"/>
          <w:i/>
          <w:iCs/>
          <w:color w:val="000000" w:themeColor="text1"/>
          <w:szCs w:val="24"/>
        </w:rPr>
      </w:pPr>
      <w:r w:rsidRPr="00AB1C80">
        <w:rPr>
          <w:rFonts w:cs="Arial"/>
          <w:i/>
          <w:iCs/>
          <w:color w:val="000000" w:themeColor="text1"/>
          <w:szCs w:val="24"/>
        </w:rPr>
        <w:t>Artículo 61. Minerales que comprende la concesión. El concesionario tiene derecho a explotar además de los minerales expresamente comprendidos en el contrato, los que se hallen en liga íntima o asociados con estos o se obtengan como subproductos de la explotación.</w:t>
      </w:r>
    </w:p>
    <w:p w14:paraId="29BED1E3" w14:textId="77777777" w:rsidR="00A254F6" w:rsidRPr="00AB1C80" w:rsidRDefault="00A254F6" w:rsidP="00AB1C80">
      <w:pPr>
        <w:spacing w:line="276" w:lineRule="auto"/>
        <w:ind w:left="708"/>
        <w:rPr>
          <w:rFonts w:cs="Arial"/>
          <w:i/>
          <w:iCs/>
          <w:color w:val="000000" w:themeColor="text1"/>
          <w:szCs w:val="24"/>
        </w:rPr>
      </w:pPr>
    </w:p>
    <w:p w14:paraId="1886ACA9" w14:textId="77777777" w:rsidR="00A254F6" w:rsidRPr="00AB1C80" w:rsidRDefault="00A254F6" w:rsidP="00AB1C80">
      <w:pPr>
        <w:spacing w:line="276" w:lineRule="auto"/>
        <w:ind w:left="708"/>
        <w:rPr>
          <w:rFonts w:cs="Arial"/>
          <w:i/>
          <w:iCs/>
          <w:color w:val="000000" w:themeColor="text1"/>
          <w:szCs w:val="24"/>
        </w:rPr>
      </w:pPr>
      <w:r w:rsidRPr="00AB1C80">
        <w:rPr>
          <w:rFonts w:cs="Arial"/>
          <w:i/>
          <w:iCs/>
          <w:color w:val="000000" w:themeColor="text1"/>
          <w:szCs w:val="24"/>
        </w:rPr>
        <w:t xml:space="preserve">Para los efectos del presente artículo, se considera que se hallan en liga íntima los minerales que hacen parte del material extraído y que su separación sólo se obtiene mediante posteriores procesos físicos o químicos de beneficio. Se considera que un mineral es un subproducto de la explotación del concesionario, cuando es necesariamente extraído con el que </w:t>
      </w:r>
      <w:r w:rsidRPr="00AB1C80">
        <w:rPr>
          <w:rFonts w:cs="Arial"/>
          <w:i/>
          <w:iCs/>
          <w:color w:val="000000" w:themeColor="text1"/>
          <w:szCs w:val="24"/>
        </w:rPr>
        <w:lastRenderedPageBreak/>
        <w:t>es objeto del contrato y que por su calidad o cantidad no sería económicamente explotable en forma separada. Entiéndase por minerales asociados aquellos que hacen parte integral del cuerpo mineralizado objeto del contrato de concesión.</w:t>
      </w:r>
    </w:p>
    <w:p w14:paraId="019A95E8" w14:textId="77777777" w:rsidR="00A254F6" w:rsidRPr="00AB1C80" w:rsidRDefault="00A254F6" w:rsidP="00AB1C80">
      <w:pPr>
        <w:spacing w:line="276" w:lineRule="auto"/>
        <w:ind w:left="708"/>
        <w:rPr>
          <w:rFonts w:cs="Arial"/>
          <w:i/>
          <w:iCs/>
          <w:color w:val="000000" w:themeColor="text1"/>
          <w:szCs w:val="24"/>
        </w:rPr>
      </w:pPr>
    </w:p>
    <w:p w14:paraId="227595D6" w14:textId="6CA915A3"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A su vez, a partir de los estipulado en Código de Minas, mediante la Resolución 18-0861 del 20 de agosto de 2002 se adoptaron las Guías Minero-Ambientales de Exploración, Explotación y de Beneficio y Transformación en las cuales se establecen consideraciones y orientaciones encaminadas a la adecuada gestión del material estéril con el fin de minimizar los riesgos y mitigar los impactos ambientales generados por su manejo y disposición.</w:t>
      </w:r>
    </w:p>
    <w:p w14:paraId="14020132" w14:textId="77777777" w:rsidR="00A254F6" w:rsidRPr="00AB1C80" w:rsidRDefault="00A254F6" w:rsidP="00AB1C80">
      <w:pPr>
        <w:spacing w:line="276" w:lineRule="auto"/>
        <w:rPr>
          <w:rFonts w:cs="Arial"/>
          <w:color w:val="000000" w:themeColor="text1"/>
          <w:szCs w:val="24"/>
        </w:rPr>
      </w:pPr>
    </w:p>
    <w:p w14:paraId="2BF4A0F6"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el Glosario Técnico Minero expedido en el año 2015 mediante Resolución 40599 se establecieron las definiciones vigentes de estéril abordándolo como un material sin mineral recuperable, sin valor económico adyacente al mineral de interés o producto de las actividades de explotación, beneficio y transformación del proyecto minero.</w:t>
      </w:r>
    </w:p>
    <w:p w14:paraId="62CFCBA1" w14:textId="77777777" w:rsidR="00A254F6" w:rsidRPr="00AB1C80" w:rsidRDefault="00A254F6" w:rsidP="00AB1C80">
      <w:pPr>
        <w:spacing w:line="276" w:lineRule="auto"/>
        <w:rPr>
          <w:rFonts w:cs="Arial"/>
          <w:color w:val="000000" w:themeColor="text1"/>
          <w:szCs w:val="24"/>
        </w:rPr>
      </w:pPr>
    </w:p>
    <w:p w14:paraId="58C3C1E8"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el Decreto 1076 de 2015, Decreto Único Reglamentario del Sector Ambiente y Desarrollo Sostenible se relacionan obligaciones ambientales generales respecto al manejo de los residuos generados en la actividad minera, restricciones, exclusiones y consideraciones que deben estar incluidas en el instrumento ambiental necesario para el desarrollo de la operación minera.</w:t>
      </w:r>
    </w:p>
    <w:p w14:paraId="68F2BE57" w14:textId="77777777" w:rsidR="00A254F6" w:rsidRPr="00AB1C80" w:rsidRDefault="00A254F6" w:rsidP="00AB1C80">
      <w:pPr>
        <w:spacing w:line="276" w:lineRule="auto"/>
        <w:rPr>
          <w:rFonts w:cs="Arial"/>
          <w:color w:val="000000" w:themeColor="text1"/>
          <w:szCs w:val="24"/>
        </w:rPr>
      </w:pPr>
    </w:p>
    <w:p w14:paraId="437D005F"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el Decreto 1073 de 2015, Decreto Único Reglamentario del Sector Administrativo de Minas y Energía se establecen disposiciones y consideraciones relacionadas a la comercialización del mineral (RUCOM).</w:t>
      </w:r>
    </w:p>
    <w:p w14:paraId="2D842483" w14:textId="77777777" w:rsidR="00A254F6" w:rsidRPr="00AB1C80" w:rsidRDefault="00A254F6" w:rsidP="00AB1C80">
      <w:pPr>
        <w:spacing w:line="276" w:lineRule="auto"/>
        <w:rPr>
          <w:rFonts w:cs="Arial"/>
          <w:color w:val="000000" w:themeColor="text1"/>
          <w:szCs w:val="24"/>
        </w:rPr>
      </w:pPr>
    </w:p>
    <w:p w14:paraId="417993ED"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Por medio del Decreto 276 de 2015 del Ministerio de Minas y Energía, se adoptan las medidas relacionadas al Registro Único de Comercializadores de Minerales – RUCOM, este registro es fundamental para la comercialización de cualquier mineral, para el caso del aprovechamiento comercial del material estéril es necesario la modificación de este registro lo que implica en muchas ocasiones un impedimento de carácter legal.</w:t>
      </w:r>
    </w:p>
    <w:p w14:paraId="702CB8DF" w14:textId="77777777" w:rsidR="00A254F6" w:rsidRPr="00AB1C80" w:rsidRDefault="00A254F6" w:rsidP="00AB1C80">
      <w:pPr>
        <w:spacing w:line="276" w:lineRule="auto"/>
        <w:rPr>
          <w:rFonts w:cs="Arial"/>
          <w:color w:val="000000" w:themeColor="text1"/>
          <w:szCs w:val="24"/>
        </w:rPr>
      </w:pPr>
    </w:p>
    <w:p w14:paraId="7EBD31AD"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 xml:space="preserve">Mediante la Resolución 2206 del año 2016 se adoptan los términos de referencia para la elaboración del estudio de impacto ambiental – EIA, requeridos para el trámite de la licencia ambiental de los proyectos de minería y se toman otras determinaciones; en este documento se presentan disposiciones respecto al </w:t>
      </w:r>
      <w:r w:rsidRPr="00AB1C80">
        <w:rPr>
          <w:rFonts w:cs="Arial"/>
          <w:color w:val="000000" w:themeColor="text1"/>
          <w:szCs w:val="24"/>
        </w:rPr>
        <w:lastRenderedPageBreak/>
        <w:t>manejo y disposición de sobrantes, caracterización del área de influencia y planes y programas para el manejo de estériles.</w:t>
      </w:r>
    </w:p>
    <w:p w14:paraId="3B27C4FD" w14:textId="77777777" w:rsidR="00A254F6" w:rsidRPr="00AB1C80" w:rsidRDefault="00A254F6" w:rsidP="00AB1C80">
      <w:pPr>
        <w:spacing w:line="276" w:lineRule="auto"/>
        <w:rPr>
          <w:rFonts w:cs="Arial"/>
          <w:color w:val="000000" w:themeColor="text1"/>
          <w:szCs w:val="24"/>
        </w:rPr>
      </w:pPr>
    </w:p>
    <w:p w14:paraId="7FBD0396"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los términos de referencia para trabajo de exploración, programa mínimo exploratorio y Programa de Trabajos y Obras (PTO) para materiales y minerales distintos del espacio y fondo marino adoptados mediante Resolución 143 de 2017 y Modificado mediante Resolución 299 de 2018, se presentan algunos aspectos básicos relacionados a la gestión del material estéril contenidos en el diseño y planeamiento minero, construcción y montaje correspondientes al desarrollo de estudios, análisis, descripción de la ubicación y diseño de la estructura de disposición, abordadas de una manera general sin presentar orientaciones en detalle al respecto.</w:t>
      </w:r>
    </w:p>
    <w:p w14:paraId="113F7DFE" w14:textId="77777777" w:rsidR="00A254F6" w:rsidRPr="00AB1C80" w:rsidRDefault="00A254F6" w:rsidP="00AB1C80">
      <w:pPr>
        <w:spacing w:line="276" w:lineRule="auto"/>
        <w:rPr>
          <w:rFonts w:cs="Arial"/>
          <w:color w:val="000000" w:themeColor="text1"/>
          <w:szCs w:val="24"/>
        </w:rPr>
      </w:pPr>
    </w:p>
    <w:p w14:paraId="4BD12D59"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 xml:space="preserve">Mediante la Resolución 447 del año 2020 el Ministerio de Ambiente y Desarrollo Sostenible estableció los Términos de Referencia para la elaboración del Estudio de Impacto Ambiental – EIA en proyectos de pequeña minería, abordando o requiriendo aspectos relacionados al manejo del material estéril correspondiente a las alternativas de disposición, estudios, diseños, entre otros aspectos que se relacionan de manera general sin incluir todas las actividades relacionadas a la gestión del estéril en las etapas del ciclo de vida del proyecto minero. </w:t>
      </w:r>
    </w:p>
    <w:p w14:paraId="32C59263" w14:textId="77777777" w:rsidR="00A254F6" w:rsidRPr="00AB1C80" w:rsidRDefault="00A254F6" w:rsidP="00AB1C80">
      <w:pPr>
        <w:spacing w:line="276" w:lineRule="auto"/>
        <w:rPr>
          <w:rFonts w:cs="Arial"/>
          <w:color w:val="000000" w:themeColor="text1"/>
          <w:szCs w:val="24"/>
        </w:rPr>
      </w:pPr>
    </w:p>
    <w:p w14:paraId="608DBEBF" w14:textId="77777777" w:rsidR="00A254F6" w:rsidRPr="00AB1C80" w:rsidRDefault="00A254F6" w:rsidP="00AB1C80">
      <w:pPr>
        <w:spacing w:line="276" w:lineRule="auto"/>
        <w:rPr>
          <w:rFonts w:cs="Arial"/>
          <w:color w:val="000000" w:themeColor="text1"/>
          <w:szCs w:val="24"/>
        </w:rPr>
      </w:pPr>
      <w:r w:rsidRPr="00AB1C80">
        <w:rPr>
          <w:rFonts w:cs="Arial"/>
          <w:color w:val="000000" w:themeColor="text1"/>
          <w:szCs w:val="24"/>
        </w:rPr>
        <w:t>En algunos conceptos técnicos emitidos por la Agencia Nacional de Minería (ANM) con número 20161200369011, 20171200124741 y 20181200264681_0 se da respuesta a interrogantes relacionados al aprovechamiento del material estéril formulados desde distintos proyectos mineros; en estos documentos se evidencia que no se tiene claridad jurídica respecto a la posibilidad de aprovechamiento y obligatoriedad de pago de regalías por estos materiales; por lo cual, la autoridad minera basada en el artículo 227 del Código de Minas expresa que cualquier subproducto explotado en la actividad minera esté sujeto al pago de regalías sin detallar la necesidad de modificar el Registro Minero Nacional en cuanto al(los) mineral(es) concesionado(s), por lo que el estéril por su misma naturaleza no está incluido como mineral en el contrato de concesión.</w:t>
      </w:r>
    </w:p>
    <w:p w14:paraId="38DB9CF9" w14:textId="77777777" w:rsidR="00A254F6" w:rsidRPr="00AB1C80" w:rsidRDefault="00A254F6" w:rsidP="00AB1C80">
      <w:pPr>
        <w:spacing w:line="276" w:lineRule="auto"/>
        <w:rPr>
          <w:rFonts w:cs="Arial"/>
          <w:color w:val="000000" w:themeColor="text1"/>
          <w:szCs w:val="24"/>
        </w:rPr>
      </w:pPr>
    </w:p>
    <w:p w14:paraId="5EFDA2A7" w14:textId="40F1923B" w:rsidR="00A84705" w:rsidRPr="00AB1C80" w:rsidRDefault="00A254F6" w:rsidP="00AB1C80">
      <w:pPr>
        <w:spacing w:line="276" w:lineRule="auto"/>
        <w:rPr>
          <w:rFonts w:cs="Arial"/>
          <w:color w:val="000000" w:themeColor="text1"/>
          <w:szCs w:val="24"/>
        </w:rPr>
      </w:pPr>
      <w:r w:rsidRPr="00AB1C80">
        <w:rPr>
          <w:rFonts w:cs="Arial"/>
          <w:color w:val="000000" w:themeColor="text1"/>
          <w:szCs w:val="24"/>
        </w:rPr>
        <w:t>A lo largo de esta revisión y análisis normativo se han identificado vacíos legales y/o jurídicos que limitan o dificultan el desarrollo de alternativas encaminadas a la gestión y manejo del material estéril, con relación a su posible aprovechamiento. A su vez el sustento normativo técnico requiere mayor nivel de detalle y coordinación entre el sector minero y ambiental enfocándose hacia el desarrollo sostenible mediante el aprovechamiento de estos recursos mineros.</w:t>
      </w:r>
    </w:p>
    <w:p w14:paraId="2AF09109" w14:textId="77777777" w:rsidR="00A84705" w:rsidRPr="00AB1C80" w:rsidRDefault="00A84705" w:rsidP="00AB1C80">
      <w:pPr>
        <w:spacing w:line="276" w:lineRule="auto"/>
        <w:rPr>
          <w:rFonts w:cs="Arial"/>
          <w:color w:val="000000" w:themeColor="text1"/>
          <w:szCs w:val="24"/>
        </w:rPr>
        <w:sectPr w:rsidR="00A84705" w:rsidRPr="00AB1C80" w:rsidSect="00EB44C2">
          <w:pgSz w:w="12240" w:h="15840"/>
          <w:pgMar w:top="1418" w:right="1701" w:bottom="1418" w:left="1701" w:header="709" w:footer="709" w:gutter="0"/>
          <w:cols w:space="708"/>
          <w:docGrid w:linePitch="360"/>
        </w:sectPr>
      </w:pPr>
    </w:p>
    <w:p w14:paraId="36F80466" w14:textId="12B88F4F" w:rsidR="00A84705" w:rsidRPr="00AB1C80" w:rsidRDefault="00A84705" w:rsidP="00AB1C80">
      <w:pPr>
        <w:pStyle w:val="FigurayTabla"/>
        <w:spacing w:line="276" w:lineRule="auto"/>
        <w:rPr>
          <w:rFonts w:cs="Arial"/>
          <w:lang w:val="es-CO"/>
        </w:rPr>
      </w:pPr>
      <w:bookmarkStart w:id="62" w:name="_Toc86333003"/>
      <w:r w:rsidRPr="00AB1C80">
        <w:rPr>
          <w:rFonts w:cs="Arial"/>
          <w:lang w:val="es-CO"/>
        </w:rPr>
        <w:lastRenderedPageBreak/>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6</w:t>
      </w:r>
      <w:r w:rsidRPr="00AB1C80">
        <w:rPr>
          <w:rFonts w:cs="Arial"/>
          <w:lang w:val="es-CO"/>
        </w:rPr>
        <w:fldChar w:fldCharType="end"/>
      </w:r>
      <w:r w:rsidRPr="00AB1C80">
        <w:rPr>
          <w:rFonts w:cs="Arial"/>
          <w:lang w:val="es-CO"/>
        </w:rPr>
        <w:t>. Línea de tiempo marco legal nacional relacionado a la gestión y manejo del material estéril en la actividad minera.</w:t>
      </w:r>
      <w:bookmarkEnd w:id="62"/>
    </w:p>
    <w:p w14:paraId="3778319B" w14:textId="1DED05AE" w:rsidR="00A254F6" w:rsidRPr="00AB1C80" w:rsidRDefault="00A254F6" w:rsidP="00AB1C80">
      <w:pPr>
        <w:pStyle w:val="FigurayTabla"/>
        <w:spacing w:line="276" w:lineRule="auto"/>
        <w:rPr>
          <w:rFonts w:cs="Arial"/>
          <w:lang w:val="es-CO"/>
        </w:rPr>
      </w:pPr>
      <w:r w:rsidRPr="00AB1C80">
        <w:rPr>
          <w:rFonts w:cs="Arial"/>
          <w:noProof/>
          <w:lang w:val="es-CO"/>
        </w:rPr>
        <w:drawing>
          <wp:inline distT="0" distB="0" distL="0" distR="0" wp14:anchorId="28FFA1BB" wp14:editId="2DADADA0">
            <wp:extent cx="8257540" cy="3535045"/>
            <wp:effectExtent l="19050" t="19050" r="10160" b="273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57540" cy="3535045"/>
                    </a:xfrm>
                    <a:prstGeom prst="rect">
                      <a:avLst/>
                    </a:prstGeom>
                    <a:ln w="19050">
                      <a:solidFill>
                        <a:schemeClr val="accent5">
                          <a:lumMod val="50000"/>
                        </a:schemeClr>
                      </a:solidFill>
                    </a:ln>
                  </pic:spPr>
                </pic:pic>
              </a:graphicData>
            </a:graphic>
          </wp:inline>
        </w:drawing>
      </w:r>
    </w:p>
    <w:p w14:paraId="5F709464" w14:textId="77777777" w:rsidR="00A84705" w:rsidRPr="00AB1C80" w:rsidRDefault="00A84705" w:rsidP="00AB1C80">
      <w:pPr>
        <w:pStyle w:val="Fuente"/>
        <w:spacing w:line="276" w:lineRule="auto"/>
        <w:rPr>
          <w:rFonts w:cs="Arial"/>
          <w:bCs/>
          <w:lang w:val="es-CO"/>
        </w:rPr>
      </w:pPr>
      <w:r w:rsidRPr="00AB1C80">
        <w:rPr>
          <w:rFonts w:cs="Arial"/>
          <w:bCs/>
          <w:lang w:val="es-CO"/>
        </w:rPr>
        <w:t>Fuente: ATG Ltda., 2021.</w:t>
      </w:r>
    </w:p>
    <w:p w14:paraId="3DD83C02" w14:textId="070BA21E" w:rsidR="00A84705" w:rsidRPr="00AB1C80" w:rsidRDefault="00A84705" w:rsidP="00AB1C80">
      <w:pPr>
        <w:spacing w:line="276" w:lineRule="auto"/>
        <w:jc w:val="center"/>
        <w:rPr>
          <w:rFonts w:cs="Arial"/>
          <w:color w:val="000000" w:themeColor="text1"/>
        </w:rPr>
      </w:pPr>
    </w:p>
    <w:p w14:paraId="047ABE87" w14:textId="77777777" w:rsidR="00A84705" w:rsidRPr="00AB1C80" w:rsidRDefault="00A84705" w:rsidP="00AB1C80">
      <w:pPr>
        <w:spacing w:line="276" w:lineRule="auto"/>
        <w:jc w:val="left"/>
        <w:rPr>
          <w:rFonts w:cs="Arial"/>
          <w:color w:val="000000" w:themeColor="text1"/>
        </w:rPr>
        <w:sectPr w:rsidR="00A84705" w:rsidRPr="00AB1C80" w:rsidSect="00A84705">
          <w:pgSz w:w="15840" w:h="12240" w:orient="landscape"/>
          <w:pgMar w:top="1701" w:right="1418" w:bottom="1701" w:left="1418" w:header="709" w:footer="709" w:gutter="0"/>
          <w:cols w:space="708"/>
          <w:docGrid w:linePitch="360"/>
        </w:sectPr>
      </w:pPr>
    </w:p>
    <w:p w14:paraId="2E001235" w14:textId="77777777" w:rsidR="00B7020A" w:rsidRPr="00AB1C80" w:rsidRDefault="00EB4017" w:rsidP="00AB1C80">
      <w:pPr>
        <w:pStyle w:val="Ttulo3"/>
        <w:spacing w:line="276" w:lineRule="auto"/>
        <w:rPr>
          <w:rFonts w:cs="Arial"/>
        </w:rPr>
      </w:pPr>
      <w:bookmarkStart w:id="63" w:name="_Toc56544152"/>
      <w:bookmarkStart w:id="64" w:name="_Toc86332925"/>
      <w:r w:rsidRPr="00AB1C80">
        <w:rPr>
          <w:rFonts w:cs="Arial"/>
        </w:rPr>
        <w:lastRenderedPageBreak/>
        <w:t>Temática internacional</w:t>
      </w:r>
      <w:bookmarkEnd w:id="63"/>
      <w:bookmarkEnd w:id="64"/>
    </w:p>
    <w:p w14:paraId="53C74775" w14:textId="6FD4BA98" w:rsidR="00EB4017" w:rsidRPr="00AB1C80" w:rsidRDefault="00EB4017" w:rsidP="00AB1C80">
      <w:pPr>
        <w:spacing w:line="276" w:lineRule="auto"/>
        <w:rPr>
          <w:rFonts w:cs="Arial"/>
          <w:color w:val="000000" w:themeColor="text1"/>
          <w:szCs w:val="24"/>
        </w:rPr>
      </w:pPr>
    </w:p>
    <w:p w14:paraId="2043E6D2" w14:textId="0BB68A45" w:rsidR="00BC793B" w:rsidRPr="00AB1C80" w:rsidRDefault="00BC793B" w:rsidP="00AB1C80">
      <w:pPr>
        <w:spacing w:line="276" w:lineRule="auto"/>
        <w:rPr>
          <w:rFonts w:cs="Arial"/>
          <w:color w:val="000000" w:themeColor="text1"/>
          <w:szCs w:val="24"/>
        </w:rPr>
      </w:pPr>
      <w:r w:rsidRPr="00AB1C80">
        <w:rPr>
          <w:rFonts w:cs="Arial"/>
          <w:color w:val="000000" w:themeColor="text1"/>
          <w:szCs w:val="24"/>
        </w:rPr>
        <w:t xml:space="preserve">En el proceso de recopilación y análisis de información para la construcción de la propuesta de lineamientos técnicos de política de buenas prácticas para estandarizar los procesos de la actividad minera relacionados con gestión y manejo de estériles, se realizó la revisión de </w:t>
      </w:r>
      <w:r w:rsidR="00FD7604" w:rsidRPr="00AB1C80">
        <w:rPr>
          <w:rFonts w:cs="Arial"/>
          <w:color w:val="000000" w:themeColor="text1"/>
          <w:szCs w:val="24"/>
        </w:rPr>
        <w:t>veintiséis</w:t>
      </w:r>
      <w:r w:rsidRPr="00AB1C80">
        <w:rPr>
          <w:rFonts w:cs="Arial"/>
          <w:color w:val="000000" w:themeColor="text1"/>
          <w:szCs w:val="24"/>
        </w:rPr>
        <w:t xml:space="preserve"> </w:t>
      </w:r>
      <w:r w:rsidRPr="00AB1C80">
        <w:rPr>
          <w:rFonts w:cs="Arial"/>
          <w:b/>
          <w:color w:val="000000" w:themeColor="text1"/>
          <w:szCs w:val="24"/>
        </w:rPr>
        <w:t>(</w:t>
      </w:r>
      <w:r w:rsidR="00B37D9B" w:rsidRPr="00AB1C80">
        <w:rPr>
          <w:rFonts w:cs="Arial"/>
          <w:b/>
          <w:color w:val="000000" w:themeColor="text1"/>
          <w:szCs w:val="24"/>
        </w:rPr>
        <w:t>2</w:t>
      </w:r>
      <w:r w:rsidR="00FD7604" w:rsidRPr="00AB1C80">
        <w:rPr>
          <w:rFonts w:cs="Arial"/>
          <w:b/>
          <w:color w:val="000000" w:themeColor="text1"/>
          <w:szCs w:val="24"/>
        </w:rPr>
        <w:t>6</w:t>
      </w:r>
      <w:r w:rsidRPr="00AB1C80">
        <w:rPr>
          <w:rFonts w:cs="Arial"/>
          <w:b/>
          <w:color w:val="000000" w:themeColor="text1"/>
          <w:szCs w:val="24"/>
        </w:rPr>
        <w:t>)</w:t>
      </w:r>
      <w:r w:rsidRPr="00AB1C80">
        <w:rPr>
          <w:rFonts w:cs="Arial"/>
          <w:color w:val="000000" w:themeColor="text1"/>
          <w:szCs w:val="24"/>
        </w:rPr>
        <w:t xml:space="preserve"> documentos del contexto </w:t>
      </w:r>
      <w:r w:rsidR="00B37D9B" w:rsidRPr="00AB1C80">
        <w:rPr>
          <w:rFonts w:cs="Arial"/>
          <w:color w:val="000000" w:themeColor="text1"/>
          <w:szCs w:val="24"/>
        </w:rPr>
        <w:t>internacional</w:t>
      </w:r>
      <w:r w:rsidRPr="00AB1C80">
        <w:rPr>
          <w:rFonts w:cs="Arial"/>
          <w:color w:val="000000" w:themeColor="text1"/>
          <w:szCs w:val="24"/>
        </w:rPr>
        <w:t>, publicados entre los años 200</w:t>
      </w:r>
      <w:r w:rsidR="00B37D9B" w:rsidRPr="00AB1C80">
        <w:rPr>
          <w:rFonts w:cs="Arial"/>
          <w:color w:val="000000" w:themeColor="text1"/>
          <w:szCs w:val="24"/>
        </w:rPr>
        <w:t>2</w:t>
      </w:r>
      <w:r w:rsidRPr="00AB1C80">
        <w:rPr>
          <w:rFonts w:cs="Arial"/>
          <w:color w:val="000000" w:themeColor="text1"/>
          <w:szCs w:val="24"/>
        </w:rPr>
        <w:t xml:space="preserve"> y 202</w:t>
      </w:r>
      <w:r w:rsidR="00B37D9B" w:rsidRPr="00AB1C80">
        <w:rPr>
          <w:rFonts w:cs="Arial"/>
          <w:color w:val="000000" w:themeColor="text1"/>
          <w:szCs w:val="24"/>
        </w:rPr>
        <w:t>1</w:t>
      </w:r>
      <w:r w:rsidRPr="00AB1C80">
        <w:rPr>
          <w:rFonts w:cs="Arial"/>
          <w:color w:val="000000" w:themeColor="text1"/>
          <w:szCs w:val="24"/>
        </w:rPr>
        <w:t xml:space="preserve"> siendo la mayoría de la última década, </w:t>
      </w:r>
      <w:r w:rsidR="00B37D9B" w:rsidRPr="00AB1C80">
        <w:rPr>
          <w:rFonts w:cs="Arial"/>
          <w:color w:val="000000" w:themeColor="text1"/>
          <w:szCs w:val="24"/>
        </w:rPr>
        <w:t xml:space="preserve">pero se encuentran tres </w:t>
      </w:r>
      <w:r w:rsidR="00B37D9B" w:rsidRPr="00AB1C80">
        <w:rPr>
          <w:rFonts w:cs="Arial"/>
          <w:b/>
          <w:bCs/>
          <w:color w:val="000000" w:themeColor="text1"/>
          <w:szCs w:val="24"/>
        </w:rPr>
        <w:t>(3)</w:t>
      </w:r>
      <w:r w:rsidR="00B37D9B" w:rsidRPr="00AB1C80">
        <w:rPr>
          <w:rFonts w:cs="Arial"/>
          <w:color w:val="000000" w:themeColor="text1"/>
          <w:szCs w:val="24"/>
        </w:rPr>
        <w:t xml:space="preserve"> documentos que son anteriores a esta fecha, </w:t>
      </w:r>
      <w:r w:rsidRPr="00AB1C80">
        <w:rPr>
          <w:rFonts w:cs="Arial"/>
          <w:color w:val="000000" w:themeColor="text1"/>
          <w:szCs w:val="24"/>
        </w:rPr>
        <w:t xml:space="preserve">estos corresponden a documentos oficiales, guías técnicas, documentos técnicos, estudios normativos, tesis, artículos, presentaciones y otros, generados por instituciones académicas, empresas mineras y el estado colombiano. </w:t>
      </w:r>
    </w:p>
    <w:p w14:paraId="67FAC0F5" w14:textId="77777777" w:rsidR="00BC793B" w:rsidRPr="00AB1C80" w:rsidRDefault="00BC793B" w:rsidP="00AB1C80">
      <w:pPr>
        <w:spacing w:line="276" w:lineRule="auto"/>
        <w:rPr>
          <w:rFonts w:cs="Arial"/>
          <w:color w:val="000000" w:themeColor="text1"/>
          <w:szCs w:val="24"/>
        </w:rPr>
      </w:pPr>
    </w:p>
    <w:p w14:paraId="19C95976" w14:textId="73F90B89" w:rsidR="00BC793B" w:rsidRPr="00AB1C80" w:rsidRDefault="007D3026" w:rsidP="00AB1C80">
      <w:pPr>
        <w:spacing w:line="276" w:lineRule="auto"/>
        <w:rPr>
          <w:rFonts w:cs="Arial"/>
          <w:color w:val="000000" w:themeColor="text1"/>
          <w:szCs w:val="24"/>
        </w:rPr>
      </w:pPr>
      <w:r w:rsidRPr="00AB1C80">
        <w:rPr>
          <w:rFonts w:cs="Arial"/>
        </w:rPr>
        <w:t>A partir de la revisión de estos documentos se buscó identificar los parámetros y aspectos tenidos en cuenta para el manejo y gestión de los estériles mineros en el país, haciendo énfasis en las consideraciones técnicas, ambientales, sociales y de gestión del riesgo para el desarrollo de escombreras, estructuras diseñadas para la disposición temporal o permanente del material</w:t>
      </w:r>
      <w:r w:rsidR="00BC793B" w:rsidRPr="00AB1C80">
        <w:rPr>
          <w:rFonts w:cs="Arial"/>
          <w:color w:val="000000" w:themeColor="text1"/>
          <w:szCs w:val="24"/>
        </w:rPr>
        <w:t xml:space="preserve">, (ver, </w:t>
      </w:r>
      <w:r w:rsidR="00BC793B" w:rsidRPr="00AB1C80">
        <w:rPr>
          <w:rFonts w:cs="Arial"/>
          <w:b/>
          <w:color w:val="000000" w:themeColor="text1"/>
          <w:szCs w:val="24"/>
        </w:rPr>
        <w:fldChar w:fldCharType="begin"/>
      </w:r>
      <w:r w:rsidR="00BC793B" w:rsidRPr="00AB1C80">
        <w:rPr>
          <w:rFonts w:cs="Arial"/>
          <w:b/>
          <w:color w:val="000000" w:themeColor="text1"/>
          <w:szCs w:val="24"/>
        </w:rPr>
        <w:instrText xml:space="preserve"> REF _Ref56944816 \h  \* MERGEFORMAT </w:instrText>
      </w:r>
      <w:r w:rsidR="00BC793B" w:rsidRPr="00AB1C80">
        <w:rPr>
          <w:rFonts w:cs="Arial"/>
          <w:b/>
          <w:color w:val="000000" w:themeColor="text1"/>
          <w:szCs w:val="24"/>
        </w:rPr>
      </w:r>
      <w:r w:rsidR="00BC793B" w:rsidRPr="00AB1C80">
        <w:rPr>
          <w:rFonts w:cs="Arial"/>
          <w:b/>
          <w:color w:val="000000" w:themeColor="text1"/>
          <w:szCs w:val="24"/>
        </w:rPr>
        <w:fldChar w:fldCharType="separate"/>
      </w:r>
      <w:r w:rsidR="00AB1C80" w:rsidRPr="00AB1C80">
        <w:rPr>
          <w:rFonts w:cs="Arial"/>
          <w:b/>
        </w:rPr>
        <w:t xml:space="preserve">Tabla </w:t>
      </w:r>
      <w:r w:rsidR="00AB1C80" w:rsidRPr="00AB1C80">
        <w:rPr>
          <w:rFonts w:cs="Arial"/>
          <w:b/>
          <w:noProof/>
        </w:rPr>
        <w:t>5</w:t>
      </w:r>
      <w:r w:rsidR="00BC793B" w:rsidRPr="00AB1C80">
        <w:rPr>
          <w:rFonts w:cs="Arial"/>
          <w:b/>
          <w:color w:val="000000" w:themeColor="text1"/>
          <w:szCs w:val="24"/>
        </w:rPr>
        <w:fldChar w:fldCharType="end"/>
      </w:r>
      <w:r w:rsidR="00BC793B" w:rsidRPr="00AB1C80">
        <w:rPr>
          <w:rFonts w:cs="Arial"/>
          <w:color w:val="000000" w:themeColor="text1"/>
          <w:szCs w:val="24"/>
        </w:rPr>
        <w:t>)</w:t>
      </w:r>
    </w:p>
    <w:p w14:paraId="5C79D144" w14:textId="77777777" w:rsidR="00BC793B" w:rsidRPr="00AB1C80" w:rsidRDefault="00BC793B" w:rsidP="00AB1C80">
      <w:pPr>
        <w:spacing w:line="276" w:lineRule="auto"/>
        <w:rPr>
          <w:rFonts w:cs="Arial"/>
          <w:color w:val="000000" w:themeColor="text1"/>
          <w:szCs w:val="24"/>
        </w:rPr>
      </w:pPr>
    </w:p>
    <w:p w14:paraId="485E0FE5" w14:textId="6000C69F" w:rsidR="00BC793B" w:rsidRPr="00AB1C80" w:rsidRDefault="00BC793B" w:rsidP="00AB1C80">
      <w:pPr>
        <w:pStyle w:val="Descripcin"/>
        <w:spacing w:line="276" w:lineRule="auto"/>
        <w:rPr>
          <w:rFonts w:cs="Arial"/>
          <w:lang w:val="es-CO"/>
        </w:rPr>
      </w:pPr>
      <w:bookmarkStart w:id="65" w:name="_Toc86333016"/>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11</w:t>
      </w:r>
      <w:r w:rsidRPr="00AB1C80">
        <w:rPr>
          <w:rFonts w:cs="Arial"/>
          <w:lang w:val="es-CO"/>
        </w:rPr>
        <w:fldChar w:fldCharType="end"/>
      </w:r>
      <w:r w:rsidRPr="00AB1C80">
        <w:rPr>
          <w:rFonts w:cs="Arial"/>
          <w:lang w:val="es-CO"/>
        </w:rPr>
        <w:t xml:space="preserve">. Documentos revisados en la temática </w:t>
      </w:r>
      <w:r w:rsidR="00682E37" w:rsidRPr="00AB1C80">
        <w:rPr>
          <w:rFonts w:cs="Arial"/>
          <w:lang w:val="es-CO"/>
        </w:rPr>
        <w:t>inter</w:t>
      </w:r>
      <w:r w:rsidRPr="00AB1C80">
        <w:rPr>
          <w:rFonts w:cs="Arial"/>
          <w:lang w:val="es-CO"/>
        </w:rPr>
        <w:t>nacional para gestión y manejo de estériles.</w:t>
      </w:r>
      <w:bookmarkEnd w:id="65"/>
    </w:p>
    <w:tbl>
      <w:tblPr>
        <w:tblW w:w="3858" w:type="dxa"/>
        <w:jc w:val="center"/>
        <w:tblLook w:val="04A0" w:firstRow="1" w:lastRow="0" w:firstColumn="1" w:lastColumn="0" w:noHBand="0" w:noVBand="1"/>
      </w:tblPr>
      <w:tblGrid>
        <w:gridCol w:w="2181"/>
        <w:gridCol w:w="1677"/>
      </w:tblGrid>
      <w:tr w:rsidR="00BC793B" w:rsidRPr="00AB1C80" w14:paraId="64DA7B36" w14:textId="77777777" w:rsidTr="00CE0D6C">
        <w:trPr>
          <w:trHeight w:val="20"/>
          <w:tblHeader/>
          <w:jc w:val="center"/>
        </w:trPr>
        <w:tc>
          <w:tcPr>
            <w:tcW w:w="2181" w:type="dxa"/>
            <w:tcBorders>
              <w:top w:val="single" w:sz="4" w:space="0" w:color="auto"/>
              <w:left w:val="single" w:sz="4" w:space="0" w:color="auto"/>
              <w:bottom w:val="single" w:sz="4" w:space="0" w:color="auto"/>
              <w:right w:val="single" w:sz="4" w:space="0" w:color="auto"/>
            </w:tcBorders>
            <w:shd w:val="clear" w:color="000000" w:fill="1E345C"/>
            <w:noWrap/>
            <w:vAlign w:val="center"/>
            <w:hideMark/>
          </w:tcPr>
          <w:p w14:paraId="5B949723" w14:textId="77777777" w:rsidR="00BC793B" w:rsidRPr="00AB1C80" w:rsidRDefault="00BC793B"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Tipo de Documento</w:t>
            </w:r>
          </w:p>
        </w:tc>
        <w:tc>
          <w:tcPr>
            <w:tcW w:w="1677" w:type="dxa"/>
            <w:tcBorders>
              <w:top w:val="single" w:sz="4" w:space="0" w:color="auto"/>
              <w:left w:val="nil"/>
              <w:bottom w:val="single" w:sz="4" w:space="0" w:color="auto"/>
              <w:right w:val="single" w:sz="4" w:space="0" w:color="auto"/>
            </w:tcBorders>
            <w:shd w:val="clear" w:color="000000" w:fill="1E345C"/>
            <w:noWrap/>
            <w:vAlign w:val="center"/>
            <w:hideMark/>
          </w:tcPr>
          <w:p w14:paraId="6E76F679" w14:textId="54FEA3B8" w:rsidR="00BC793B" w:rsidRPr="00AB1C80" w:rsidRDefault="00682E37"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Interna</w:t>
            </w:r>
            <w:r w:rsidR="00BC793B" w:rsidRPr="00AB1C80">
              <w:rPr>
                <w:rFonts w:eastAsia="Times New Roman" w:cs="Arial"/>
                <w:b/>
                <w:bCs/>
                <w:color w:val="FFFFFF"/>
                <w:sz w:val="18"/>
                <w:szCs w:val="18"/>
              </w:rPr>
              <w:t>cional</w:t>
            </w:r>
          </w:p>
        </w:tc>
      </w:tr>
      <w:tr w:rsidR="00BC793B" w:rsidRPr="00AB1C80" w14:paraId="24F680E9"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2CB5BF2E"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Oficial</w:t>
            </w:r>
          </w:p>
        </w:tc>
        <w:tc>
          <w:tcPr>
            <w:tcW w:w="1677" w:type="dxa"/>
            <w:tcBorders>
              <w:top w:val="nil"/>
              <w:left w:val="nil"/>
              <w:bottom w:val="single" w:sz="4" w:space="0" w:color="auto"/>
              <w:right w:val="single" w:sz="4" w:space="0" w:color="auto"/>
            </w:tcBorders>
            <w:shd w:val="clear" w:color="auto" w:fill="auto"/>
            <w:noWrap/>
            <w:vAlign w:val="center"/>
          </w:tcPr>
          <w:p w14:paraId="53740527" w14:textId="571FF34A" w:rsidR="00BC793B"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5BA494F6"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1FBC3906"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Guía Técnica</w:t>
            </w:r>
          </w:p>
        </w:tc>
        <w:tc>
          <w:tcPr>
            <w:tcW w:w="1677" w:type="dxa"/>
            <w:tcBorders>
              <w:top w:val="nil"/>
              <w:left w:val="nil"/>
              <w:bottom w:val="single" w:sz="4" w:space="0" w:color="auto"/>
              <w:right w:val="single" w:sz="4" w:space="0" w:color="auto"/>
            </w:tcBorders>
            <w:shd w:val="clear" w:color="auto" w:fill="auto"/>
            <w:noWrap/>
            <w:vAlign w:val="center"/>
          </w:tcPr>
          <w:p w14:paraId="12E44E82" w14:textId="4EA966D7" w:rsidR="00BC793B"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16</w:t>
            </w:r>
          </w:p>
        </w:tc>
      </w:tr>
      <w:tr w:rsidR="00BC793B" w:rsidRPr="00AB1C80" w14:paraId="441C6F1E"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53F382FF"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Técnico</w:t>
            </w:r>
          </w:p>
        </w:tc>
        <w:tc>
          <w:tcPr>
            <w:tcW w:w="1677" w:type="dxa"/>
            <w:tcBorders>
              <w:top w:val="nil"/>
              <w:left w:val="nil"/>
              <w:bottom w:val="single" w:sz="4" w:space="0" w:color="auto"/>
              <w:right w:val="single" w:sz="4" w:space="0" w:color="auto"/>
            </w:tcBorders>
            <w:shd w:val="clear" w:color="auto" w:fill="auto"/>
            <w:noWrap/>
            <w:vAlign w:val="center"/>
          </w:tcPr>
          <w:p w14:paraId="3FF5647A" w14:textId="5DCD4550" w:rsidR="00BC793B" w:rsidRPr="00AB1C80" w:rsidRDefault="005D5190"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00D11F58"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11DFA0BA"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Estudio Normativo</w:t>
            </w:r>
          </w:p>
        </w:tc>
        <w:tc>
          <w:tcPr>
            <w:tcW w:w="1677" w:type="dxa"/>
            <w:tcBorders>
              <w:top w:val="nil"/>
              <w:left w:val="nil"/>
              <w:bottom w:val="single" w:sz="4" w:space="0" w:color="auto"/>
              <w:right w:val="single" w:sz="4" w:space="0" w:color="auto"/>
            </w:tcBorders>
            <w:shd w:val="clear" w:color="auto" w:fill="auto"/>
            <w:noWrap/>
            <w:vAlign w:val="center"/>
          </w:tcPr>
          <w:p w14:paraId="4B25B658" w14:textId="26E8F83D" w:rsidR="00BC793B" w:rsidRPr="00AB1C80" w:rsidRDefault="005D5190"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504A5F45"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71AC307B"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Tesis</w:t>
            </w:r>
          </w:p>
        </w:tc>
        <w:tc>
          <w:tcPr>
            <w:tcW w:w="1677" w:type="dxa"/>
            <w:tcBorders>
              <w:top w:val="nil"/>
              <w:left w:val="nil"/>
              <w:bottom w:val="single" w:sz="4" w:space="0" w:color="auto"/>
              <w:right w:val="single" w:sz="4" w:space="0" w:color="auto"/>
            </w:tcBorders>
            <w:shd w:val="clear" w:color="auto" w:fill="auto"/>
            <w:noWrap/>
            <w:vAlign w:val="center"/>
          </w:tcPr>
          <w:p w14:paraId="75CCE3C1" w14:textId="5287FE65" w:rsidR="00BC793B" w:rsidRPr="00AB1C80" w:rsidRDefault="005D5190"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6928F31F"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5035B328"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Artículo</w:t>
            </w:r>
          </w:p>
        </w:tc>
        <w:tc>
          <w:tcPr>
            <w:tcW w:w="1677" w:type="dxa"/>
            <w:tcBorders>
              <w:top w:val="nil"/>
              <w:left w:val="nil"/>
              <w:bottom w:val="single" w:sz="4" w:space="0" w:color="auto"/>
              <w:right w:val="single" w:sz="4" w:space="0" w:color="auto"/>
            </w:tcBorders>
            <w:shd w:val="clear" w:color="auto" w:fill="auto"/>
            <w:noWrap/>
            <w:vAlign w:val="center"/>
          </w:tcPr>
          <w:p w14:paraId="3726DE3F" w14:textId="128017DB" w:rsidR="00BC793B"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3</w:t>
            </w:r>
          </w:p>
        </w:tc>
      </w:tr>
      <w:tr w:rsidR="00BC793B" w:rsidRPr="00AB1C80" w14:paraId="6AE345B8"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6303DD1A"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Presentación</w:t>
            </w:r>
          </w:p>
        </w:tc>
        <w:tc>
          <w:tcPr>
            <w:tcW w:w="1677" w:type="dxa"/>
            <w:tcBorders>
              <w:top w:val="nil"/>
              <w:left w:val="nil"/>
              <w:bottom w:val="single" w:sz="4" w:space="0" w:color="auto"/>
              <w:right w:val="single" w:sz="4" w:space="0" w:color="auto"/>
            </w:tcBorders>
            <w:shd w:val="clear" w:color="auto" w:fill="auto"/>
            <w:noWrap/>
            <w:vAlign w:val="center"/>
          </w:tcPr>
          <w:p w14:paraId="26461D6A" w14:textId="46375869" w:rsidR="00BC793B" w:rsidRPr="00AB1C80" w:rsidRDefault="005D5190"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CE0D6C" w:rsidRPr="00AB1C80" w14:paraId="1E4E79F1"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tcPr>
          <w:p w14:paraId="3B11C13A" w14:textId="1195D675" w:rsidR="00CE0D6C"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w:t>
            </w:r>
            <w:r w:rsidR="00155CFD" w:rsidRPr="00AB1C80">
              <w:rPr>
                <w:rFonts w:eastAsia="Times New Roman" w:cs="Arial"/>
                <w:color w:val="000000"/>
                <w:sz w:val="18"/>
                <w:szCs w:val="18"/>
              </w:rPr>
              <w:t>é</w:t>
            </w:r>
            <w:r w:rsidRPr="00AB1C80">
              <w:rPr>
                <w:rFonts w:eastAsia="Times New Roman" w:cs="Arial"/>
                <w:color w:val="000000"/>
                <w:sz w:val="18"/>
                <w:szCs w:val="18"/>
              </w:rPr>
              <w:t>rminos de Referencia</w:t>
            </w:r>
          </w:p>
        </w:tc>
        <w:tc>
          <w:tcPr>
            <w:tcW w:w="1677" w:type="dxa"/>
            <w:tcBorders>
              <w:top w:val="nil"/>
              <w:left w:val="nil"/>
              <w:bottom w:val="single" w:sz="4" w:space="0" w:color="auto"/>
              <w:right w:val="single" w:sz="4" w:space="0" w:color="auto"/>
            </w:tcBorders>
            <w:shd w:val="clear" w:color="auto" w:fill="auto"/>
            <w:noWrap/>
            <w:vAlign w:val="center"/>
          </w:tcPr>
          <w:p w14:paraId="332E9D1F" w14:textId="050434FE" w:rsidR="00CE0D6C"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5FA68F39" w14:textId="77777777" w:rsidTr="00CE0D6C">
        <w:trPr>
          <w:trHeight w:val="20"/>
          <w:jc w:val="center"/>
        </w:trPr>
        <w:tc>
          <w:tcPr>
            <w:tcW w:w="2181" w:type="dxa"/>
            <w:tcBorders>
              <w:top w:val="nil"/>
              <w:left w:val="single" w:sz="4" w:space="0" w:color="auto"/>
              <w:bottom w:val="single" w:sz="4" w:space="0" w:color="auto"/>
              <w:right w:val="single" w:sz="4" w:space="0" w:color="auto"/>
            </w:tcBorders>
            <w:shd w:val="clear" w:color="auto" w:fill="auto"/>
            <w:noWrap/>
            <w:vAlign w:val="center"/>
            <w:hideMark/>
          </w:tcPr>
          <w:p w14:paraId="2BF6985C"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Otros Documentos</w:t>
            </w:r>
          </w:p>
        </w:tc>
        <w:tc>
          <w:tcPr>
            <w:tcW w:w="1677" w:type="dxa"/>
            <w:tcBorders>
              <w:top w:val="nil"/>
              <w:left w:val="nil"/>
              <w:bottom w:val="single" w:sz="4" w:space="0" w:color="auto"/>
              <w:right w:val="single" w:sz="4" w:space="0" w:color="auto"/>
            </w:tcBorders>
            <w:shd w:val="clear" w:color="auto" w:fill="auto"/>
            <w:noWrap/>
            <w:vAlign w:val="center"/>
          </w:tcPr>
          <w:p w14:paraId="2E3FC648" w14:textId="53DB2809" w:rsidR="00BC793B" w:rsidRPr="00AB1C80" w:rsidRDefault="00CE0D6C"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5</w:t>
            </w:r>
          </w:p>
        </w:tc>
      </w:tr>
    </w:tbl>
    <w:p w14:paraId="13D15A19" w14:textId="77777777" w:rsidR="00BC793B" w:rsidRPr="00AB1C80" w:rsidRDefault="00BC793B" w:rsidP="00AB1C80">
      <w:pPr>
        <w:pStyle w:val="Fuente"/>
        <w:spacing w:line="276" w:lineRule="auto"/>
        <w:rPr>
          <w:rFonts w:cs="Arial"/>
          <w:lang w:val="es-CO"/>
        </w:rPr>
      </w:pPr>
      <w:r w:rsidRPr="00AB1C80">
        <w:rPr>
          <w:rFonts w:cs="Arial"/>
          <w:lang w:val="es-CO"/>
        </w:rPr>
        <w:t>Fuente: ATG Ltda., 2021.</w:t>
      </w:r>
    </w:p>
    <w:p w14:paraId="617A2322" w14:textId="77777777" w:rsidR="00BC793B" w:rsidRPr="00AB1C80" w:rsidRDefault="00BC793B" w:rsidP="00AB1C80">
      <w:pPr>
        <w:spacing w:line="276" w:lineRule="auto"/>
        <w:rPr>
          <w:rFonts w:cs="Arial"/>
          <w:color w:val="000000" w:themeColor="text1"/>
          <w:szCs w:val="24"/>
        </w:rPr>
      </w:pPr>
    </w:p>
    <w:p w14:paraId="4F075D64" w14:textId="6C57457D" w:rsidR="00D43EB2" w:rsidRPr="00AB1C80" w:rsidRDefault="00BC793B" w:rsidP="00AB1C80">
      <w:pPr>
        <w:spacing w:line="276" w:lineRule="auto"/>
        <w:rPr>
          <w:rFonts w:cs="Arial"/>
          <w:color w:val="000000" w:themeColor="text1"/>
          <w:szCs w:val="24"/>
        </w:rPr>
      </w:pPr>
      <w:r w:rsidRPr="00AB1C80">
        <w:rPr>
          <w:rFonts w:cs="Arial"/>
          <w:color w:val="000000" w:themeColor="text1"/>
          <w:szCs w:val="24"/>
        </w:rPr>
        <w:t>A continuación, en la</w:t>
      </w:r>
      <w:r w:rsidR="00893FE9" w:rsidRPr="00AB1C80">
        <w:rPr>
          <w:rFonts w:cs="Arial"/>
          <w:color w:val="000000" w:themeColor="text1"/>
          <w:szCs w:val="24"/>
        </w:rPr>
        <w:t xml:space="preserve"> </w:t>
      </w:r>
      <w:r w:rsidR="00893FE9" w:rsidRPr="00AB1C80">
        <w:rPr>
          <w:rFonts w:cs="Arial"/>
          <w:b/>
          <w:bCs/>
          <w:color w:val="000000" w:themeColor="text1"/>
          <w:szCs w:val="24"/>
        </w:rPr>
        <w:fldChar w:fldCharType="begin"/>
      </w:r>
      <w:r w:rsidR="00893FE9" w:rsidRPr="00AB1C80">
        <w:rPr>
          <w:rFonts w:cs="Arial"/>
          <w:b/>
          <w:bCs/>
          <w:color w:val="000000" w:themeColor="text1"/>
          <w:szCs w:val="24"/>
        </w:rPr>
        <w:instrText xml:space="preserve"> REF _Ref86249943 \h  \* MERGEFORMAT </w:instrText>
      </w:r>
      <w:r w:rsidR="00893FE9" w:rsidRPr="00AB1C80">
        <w:rPr>
          <w:rFonts w:cs="Arial"/>
          <w:b/>
          <w:bCs/>
          <w:color w:val="000000" w:themeColor="text1"/>
          <w:szCs w:val="24"/>
        </w:rPr>
      </w:r>
      <w:r w:rsidR="00893FE9"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12</w:t>
      </w:r>
      <w:r w:rsidR="00893FE9" w:rsidRPr="00AB1C80">
        <w:rPr>
          <w:rFonts w:cs="Arial"/>
          <w:b/>
          <w:bCs/>
          <w:color w:val="000000" w:themeColor="text1"/>
          <w:szCs w:val="24"/>
        </w:rPr>
        <w:fldChar w:fldCharType="end"/>
      </w:r>
      <w:r w:rsidR="00893FE9" w:rsidRPr="00AB1C80">
        <w:rPr>
          <w:rFonts w:cs="Arial"/>
          <w:b/>
          <w:bCs/>
          <w:color w:val="000000" w:themeColor="text1"/>
          <w:szCs w:val="24"/>
        </w:rPr>
        <w:t xml:space="preserve">, </w:t>
      </w:r>
      <w:r w:rsidR="00893FE9" w:rsidRPr="00AB1C80">
        <w:rPr>
          <w:rFonts w:cs="Arial"/>
          <w:b/>
          <w:bCs/>
          <w:color w:val="000000" w:themeColor="text1"/>
          <w:szCs w:val="24"/>
        </w:rPr>
        <w:fldChar w:fldCharType="begin"/>
      </w:r>
      <w:r w:rsidR="00893FE9" w:rsidRPr="00AB1C80">
        <w:rPr>
          <w:rFonts w:cs="Arial"/>
          <w:b/>
          <w:bCs/>
          <w:color w:val="000000" w:themeColor="text1"/>
          <w:szCs w:val="24"/>
        </w:rPr>
        <w:instrText xml:space="preserve"> REF _Ref86249944 \h  \* MERGEFORMAT </w:instrText>
      </w:r>
      <w:r w:rsidR="00893FE9" w:rsidRPr="00AB1C80">
        <w:rPr>
          <w:rFonts w:cs="Arial"/>
          <w:b/>
          <w:bCs/>
          <w:color w:val="000000" w:themeColor="text1"/>
          <w:szCs w:val="24"/>
        </w:rPr>
      </w:r>
      <w:r w:rsidR="00893FE9"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13</w:t>
      </w:r>
      <w:r w:rsidR="00893FE9" w:rsidRPr="00AB1C80">
        <w:rPr>
          <w:rFonts w:cs="Arial"/>
          <w:b/>
          <w:bCs/>
          <w:color w:val="000000" w:themeColor="text1"/>
          <w:szCs w:val="24"/>
        </w:rPr>
        <w:fldChar w:fldCharType="end"/>
      </w:r>
      <w:r w:rsidR="00893FE9" w:rsidRPr="00AB1C80">
        <w:rPr>
          <w:rFonts w:cs="Arial"/>
          <w:b/>
          <w:bCs/>
          <w:color w:val="000000" w:themeColor="text1"/>
          <w:szCs w:val="24"/>
        </w:rPr>
        <w:t xml:space="preserve">, </w:t>
      </w:r>
      <w:r w:rsidR="00893FE9" w:rsidRPr="00AB1C80">
        <w:rPr>
          <w:rFonts w:cs="Arial"/>
          <w:b/>
          <w:bCs/>
          <w:color w:val="000000" w:themeColor="text1"/>
          <w:szCs w:val="24"/>
        </w:rPr>
        <w:fldChar w:fldCharType="begin"/>
      </w:r>
      <w:r w:rsidR="00893FE9" w:rsidRPr="00AB1C80">
        <w:rPr>
          <w:rFonts w:cs="Arial"/>
          <w:b/>
          <w:bCs/>
          <w:color w:val="000000" w:themeColor="text1"/>
          <w:szCs w:val="24"/>
        </w:rPr>
        <w:instrText xml:space="preserve"> REF _Ref86249945 \h  \* MERGEFORMAT </w:instrText>
      </w:r>
      <w:r w:rsidR="00893FE9" w:rsidRPr="00AB1C80">
        <w:rPr>
          <w:rFonts w:cs="Arial"/>
          <w:b/>
          <w:bCs/>
          <w:color w:val="000000" w:themeColor="text1"/>
          <w:szCs w:val="24"/>
        </w:rPr>
      </w:r>
      <w:r w:rsidR="00893FE9"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14</w:t>
      </w:r>
      <w:r w:rsidR="00893FE9" w:rsidRPr="00AB1C80">
        <w:rPr>
          <w:rFonts w:cs="Arial"/>
          <w:b/>
          <w:bCs/>
          <w:color w:val="000000" w:themeColor="text1"/>
          <w:szCs w:val="24"/>
        </w:rPr>
        <w:fldChar w:fldCharType="end"/>
      </w:r>
      <w:r w:rsidR="00893FE9" w:rsidRPr="00AB1C80">
        <w:rPr>
          <w:rFonts w:cs="Arial"/>
          <w:b/>
          <w:bCs/>
          <w:color w:val="000000" w:themeColor="text1"/>
          <w:szCs w:val="24"/>
        </w:rPr>
        <w:t xml:space="preserve">, </w:t>
      </w:r>
      <w:r w:rsidR="00893FE9" w:rsidRPr="00AB1C80">
        <w:rPr>
          <w:rFonts w:cs="Arial"/>
          <w:b/>
          <w:bCs/>
          <w:color w:val="000000" w:themeColor="text1"/>
          <w:szCs w:val="24"/>
        </w:rPr>
        <w:fldChar w:fldCharType="begin"/>
      </w:r>
      <w:r w:rsidR="00893FE9" w:rsidRPr="00AB1C80">
        <w:rPr>
          <w:rFonts w:cs="Arial"/>
          <w:b/>
          <w:bCs/>
          <w:color w:val="000000" w:themeColor="text1"/>
          <w:szCs w:val="24"/>
        </w:rPr>
        <w:instrText xml:space="preserve"> REF _Ref86249946 \h  \* MERGEFORMAT </w:instrText>
      </w:r>
      <w:r w:rsidR="00893FE9" w:rsidRPr="00AB1C80">
        <w:rPr>
          <w:rFonts w:cs="Arial"/>
          <w:b/>
          <w:bCs/>
          <w:color w:val="000000" w:themeColor="text1"/>
          <w:szCs w:val="24"/>
        </w:rPr>
      </w:r>
      <w:r w:rsidR="00893FE9"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15</w:t>
      </w:r>
      <w:r w:rsidR="00893FE9" w:rsidRPr="00AB1C80">
        <w:rPr>
          <w:rFonts w:cs="Arial"/>
          <w:b/>
          <w:bCs/>
          <w:color w:val="000000" w:themeColor="text1"/>
          <w:szCs w:val="24"/>
        </w:rPr>
        <w:fldChar w:fldCharType="end"/>
      </w:r>
      <w:r w:rsidR="00702F50" w:rsidRPr="00AB1C80">
        <w:rPr>
          <w:rFonts w:cs="Arial"/>
          <w:b/>
          <w:bCs/>
          <w:color w:val="000000" w:themeColor="text1"/>
          <w:szCs w:val="24"/>
        </w:rPr>
        <w:t xml:space="preserve"> </w:t>
      </w:r>
      <w:r w:rsidR="00893FE9" w:rsidRPr="00AB1C80">
        <w:rPr>
          <w:rFonts w:cs="Arial"/>
          <w:color w:val="000000" w:themeColor="text1"/>
          <w:szCs w:val="24"/>
        </w:rPr>
        <w:t xml:space="preserve">y </w:t>
      </w:r>
      <w:r w:rsidR="00893FE9" w:rsidRPr="00AB1C80">
        <w:rPr>
          <w:rFonts w:cs="Arial"/>
          <w:b/>
          <w:bCs/>
          <w:color w:val="000000" w:themeColor="text1"/>
          <w:szCs w:val="24"/>
        </w:rPr>
        <w:fldChar w:fldCharType="begin"/>
      </w:r>
      <w:r w:rsidR="00893FE9" w:rsidRPr="00AB1C80">
        <w:rPr>
          <w:rFonts w:cs="Arial"/>
          <w:b/>
          <w:bCs/>
          <w:color w:val="000000" w:themeColor="text1"/>
          <w:szCs w:val="24"/>
        </w:rPr>
        <w:instrText xml:space="preserve"> REF _Ref86249948 \h  \* MERGEFORMAT </w:instrText>
      </w:r>
      <w:r w:rsidR="00893FE9" w:rsidRPr="00AB1C80">
        <w:rPr>
          <w:rFonts w:cs="Arial"/>
          <w:b/>
          <w:bCs/>
          <w:color w:val="000000" w:themeColor="text1"/>
          <w:szCs w:val="24"/>
        </w:rPr>
      </w:r>
      <w:r w:rsidR="00893FE9"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16</w:t>
      </w:r>
      <w:r w:rsidR="00893FE9" w:rsidRPr="00AB1C80">
        <w:rPr>
          <w:rFonts w:cs="Arial"/>
          <w:b/>
          <w:bCs/>
          <w:color w:val="000000" w:themeColor="text1"/>
          <w:szCs w:val="24"/>
        </w:rPr>
        <w:fldChar w:fldCharType="end"/>
      </w:r>
      <w:r w:rsidRPr="00AB1C80">
        <w:rPr>
          <w:rFonts w:cs="Arial"/>
          <w:b/>
          <w:color w:val="000000" w:themeColor="text1"/>
          <w:szCs w:val="24"/>
        </w:rPr>
        <w:t>,</w:t>
      </w:r>
      <w:r w:rsidRPr="00AB1C80">
        <w:rPr>
          <w:rFonts w:cs="Arial"/>
          <w:color w:val="000000" w:themeColor="text1"/>
          <w:szCs w:val="24"/>
        </w:rPr>
        <w:t xml:space="preserve"> </w:t>
      </w:r>
      <w:r w:rsidR="00FD7604" w:rsidRPr="00AB1C80">
        <w:rPr>
          <w:rFonts w:cs="Arial"/>
          <w:color w:val="000000" w:themeColor="text1"/>
          <w:szCs w:val="24"/>
        </w:rPr>
        <w:t xml:space="preserve">se presenta la revisión de información nacional respecto a gestión y manejo de los estériles, en forma de análisis, critica e interpretación de cada documento, en las tablas se encuentra de manera reducida la información, ya que en el </w:t>
      </w:r>
      <w:r w:rsidR="00FD7604" w:rsidRPr="00AB1C80">
        <w:rPr>
          <w:rFonts w:cs="Arial"/>
          <w:b/>
          <w:bCs/>
          <w:color w:val="000000" w:themeColor="text1"/>
          <w:szCs w:val="24"/>
        </w:rPr>
        <w:t>Anexo 1</w:t>
      </w:r>
      <w:r w:rsidR="00FD7604" w:rsidRPr="00AB1C80">
        <w:rPr>
          <w:rFonts w:cs="Arial"/>
          <w:color w:val="000000" w:themeColor="text1"/>
          <w:szCs w:val="24"/>
        </w:rPr>
        <w:t xml:space="preserve"> se encuentra cada documento con información amplia y detallada de la interpretación realizada.</w:t>
      </w:r>
    </w:p>
    <w:p w14:paraId="7D1B5A7F" w14:textId="77777777" w:rsidR="00D43EB2" w:rsidRPr="00AB1C80" w:rsidRDefault="00D43EB2" w:rsidP="00AB1C80">
      <w:pPr>
        <w:spacing w:line="276" w:lineRule="auto"/>
        <w:rPr>
          <w:rFonts w:cs="Arial"/>
          <w:color w:val="000000" w:themeColor="text1"/>
          <w:szCs w:val="24"/>
        </w:rPr>
      </w:pPr>
    </w:p>
    <w:p w14:paraId="6595A7B9" w14:textId="77777777" w:rsidR="00F151C7" w:rsidRPr="00AB1C80" w:rsidRDefault="00F151C7" w:rsidP="00AB1C80">
      <w:pPr>
        <w:pStyle w:val="Ttulo4"/>
        <w:spacing w:line="276" w:lineRule="auto"/>
        <w:rPr>
          <w:rFonts w:ascii="Arial" w:hAnsi="Arial"/>
        </w:rPr>
      </w:pPr>
      <w:bookmarkStart w:id="66" w:name="_Toc86332926"/>
      <w:r w:rsidRPr="00AB1C80">
        <w:rPr>
          <w:rFonts w:ascii="Arial" w:hAnsi="Arial"/>
        </w:rPr>
        <w:t>Documentación recopilada</w:t>
      </w:r>
      <w:bookmarkEnd w:id="66"/>
    </w:p>
    <w:p w14:paraId="39505559" w14:textId="29ADF465" w:rsidR="00F151C7" w:rsidRPr="00AB1C80" w:rsidRDefault="00F151C7" w:rsidP="00AB1C80">
      <w:pPr>
        <w:spacing w:line="276" w:lineRule="auto"/>
        <w:rPr>
          <w:rFonts w:cs="Arial"/>
          <w:color w:val="000000" w:themeColor="text1"/>
        </w:rPr>
      </w:pPr>
    </w:p>
    <w:p w14:paraId="571EF9BA" w14:textId="77777777" w:rsidR="005D5190" w:rsidRPr="00AB1C80" w:rsidRDefault="005D5190" w:rsidP="00AB1C80">
      <w:pPr>
        <w:spacing w:line="276" w:lineRule="auto"/>
        <w:rPr>
          <w:rFonts w:cs="Arial"/>
          <w:color w:val="000000" w:themeColor="text1"/>
          <w:highlight w:val="yellow"/>
        </w:rPr>
        <w:sectPr w:rsidR="005D5190" w:rsidRPr="00AB1C80" w:rsidSect="00A84705">
          <w:pgSz w:w="12240" w:h="15840"/>
          <w:pgMar w:top="1418" w:right="1701" w:bottom="1418" w:left="1701" w:header="709" w:footer="709" w:gutter="0"/>
          <w:cols w:space="708"/>
          <w:docGrid w:linePitch="360"/>
        </w:sectPr>
      </w:pPr>
    </w:p>
    <w:p w14:paraId="2014C55A" w14:textId="197EBAE2" w:rsidR="005D5190" w:rsidRPr="00AB1C80" w:rsidRDefault="005D5190" w:rsidP="00AB1C80">
      <w:pPr>
        <w:pStyle w:val="Descripcin"/>
        <w:spacing w:line="276" w:lineRule="auto"/>
        <w:rPr>
          <w:rFonts w:cs="Arial"/>
          <w:lang w:val="es-CO"/>
        </w:rPr>
      </w:pPr>
      <w:bookmarkStart w:id="67" w:name="_Ref86249943"/>
      <w:bookmarkStart w:id="68" w:name="_Toc86333017"/>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12</w:t>
      </w:r>
      <w:r w:rsidRPr="00AB1C80">
        <w:rPr>
          <w:rFonts w:cs="Arial"/>
          <w:lang w:val="es-CO"/>
        </w:rPr>
        <w:fldChar w:fldCharType="end"/>
      </w:r>
      <w:bookmarkEnd w:id="67"/>
      <w:r w:rsidRPr="00AB1C80">
        <w:rPr>
          <w:rFonts w:cs="Arial"/>
          <w:lang w:val="es-CO"/>
        </w:rPr>
        <w:t>. Revisión de información internacional por artículos para la gestión y manejo de estériles.</w:t>
      </w:r>
      <w:bookmarkEnd w:id="68"/>
    </w:p>
    <w:tbl>
      <w:tblPr>
        <w:tblW w:w="14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
        <w:gridCol w:w="1708"/>
        <w:gridCol w:w="3749"/>
        <w:gridCol w:w="1263"/>
        <w:gridCol w:w="7021"/>
      </w:tblGrid>
      <w:tr w:rsidR="00225621" w:rsidRPr="00AB1C80" w14:paraId="2D411152" w14:textId="77777777" w:rsidTr="00225621">
        <w:trPr>
          <w:trHeight w:val="20"/>
          <w:tblHeader/>
          <w:jc w:val="center"/>
        </w:trPr>
        <w:tc>
          <w:tcPr>
            <w:tcW w:w="996" w:type="dxa"/>
            <w:shd w:val="clear" w:color="1E345C" w:fill="1E345C"/>
            <w:vAlign w:val="center"/>
            <w:hideMark/>
          </w:tcPr>
          <w:p w14:paraId="628DDBE0"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 xml:space="preserve">País </w:t>
            </w:r>
          </w:p>
        </w:tc>
        <w:tc>
          <w:tcPr>
            <w:tcW w:w="1708" w:type="dxa"/>
            <w:shd w:val="clear" w:color="1E345C" w:fill="1E345C"/>
            <w:vAlign w:val="center"/>
            <w:hideMark/>
          </w:tcPr>
          <w:p w14:paraId="77391389"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3749" w:type="dxa"/>
            <w:shd w:val="clear" w:color="1E345C" w:fill="1E345C"/>
            <w:vAlign w:val="center"/>
            <w:hideMark/>
          </w:tcPr>
          <w:p w14:paraId="63AF75F0"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63" w:type="dxa"/>
            <w:shd w:val="clear" w:color="1E345C" w:fill="1E345C"/>
            <w:vAlign w:val="center"/>
            <w:hideMark/>
          </w:tcPr>
          <w:p w14:paraId="5D4C6C1A"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7021" w:type="dxa"/>
            <w:shd w:val="clear" w:color="1E345C" w:fill="1E345C"/>
            <w:vAlign w:val="center"/>
            <w:hideMark/>
          </w:tcPr>
          <w:p w14:paraId="57DBFB35"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6D061FF1" w14:textId="77777777" w:rsidTr="00225621">
        <w:trPr>
          <w:trHeight w:val="20"/>
          <w:jc w:val="center"/>
        </w:trPr>
        <w:tc>
          <w:tcPr>
            <w:tcW w:w="996" w:type="dxa"/>
            <w:shd w:val="clear" w:color="auto" w:fill="auto"/>
            <w:vAlign w:val="center"/>
            <w:hideMark/>
          </w:tcPr>
          <w:p w14:paraId="6FA8DBD2" w14:textId="77777777" w:rsidR="00225621" w:rsidRPr="00AB1C80" w:rsidRDefault="00225621"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 xml:space="preserve">Australia </w:t>
            </w:r>
          </w:p>
        </w:tc>
        <w:tc>
          <w:tcPr>
            <w:tcW w:w="1708" w:type="dxa"/>
            <w:shd w:val="clear" w:color="auto" w:fill="auto"/>
            <w:vAlign w:val="center"/>
            <w:hideMark/>
          </w:tcPr>
          <w:p w14:paraId="3C05FCED"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Reprocesamiento de Residuos Mineros: Combinando el Medio Ambiente Gestión y Recuperación de Metales </w:t>
            </w:r>
          </w:p>
        </w:tc>
        <w:tc>
          <w:tcPr>
            <w:tcW w:w="3749" w:type="dxa"/>
            <w:shd w:val="clear" w:color="auto" w:fill="auto"/>
            <w:vAlign w:val="center"/>
            <w:hideMark/>
          </w:tcPr>
          <w:p w14:paraId="4CC4F0D4"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 Departamento de Prevención de Riesgos y Seguridad Minera Bellenfant, BRGM, Francia A.G. Guezennec División de Agua, Medio Ambiente y Ecotecnología, BRGM, Francia F. Bodenan División de Agua, Medio Ambiente y Ecotecnología, BRGM, Francia P. D’Hugues División de Agua, Medio Ambiente y Ecotecnología, BRGM, Francia D. División de Recursos Geográficos de Cassard, BRGM, Francia</w:t>
            </w:r>
          </w:p>
        </w:tc>
        <w:tc>
          <w:tcPr>
            <w:tcW w:w="1263" w:type="dxa"/>
            <w:shd w:val="clear" w:color="auto" w:fill="auto"/>
            <w:vAlign w:val="center"/>
            <w:hideMark/>
          </w:tcPr>
          <w:p w14:paraId="3A57E1F6"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2013</w:t>
            </w:r>
          </w:p>
        </w:tc>
        <w:tc>
          <w:tcPr>
            <w:tcW w:w="7021" w:type="dxa"/>
            <w:shd w:val="clear" w:color="auto" w:fill="auto"/>
            <w:vAlign w:val="center"/>
            <w:hideMark/>
          </w:tcPr>
          <w:p w14:paraId="58847840" w14:textId="77777777" w:rsidR="00225621" w:rsidRPr="00AB1C80" w:rsidRDefault="00225621" w:rsidP="00AE4D25">
            <w:pPr>
              <w:spacing w:line="276" w:lineRule="auto"/>
              <w:rPr>
                <w:rFonts w:eastAsia="Times New Roman" w:cs="Arial"/>
                <w:sz w:val="20"/>
                <w:szCs w:val="20"/>
                <w:lang w:eastAsia="es-CO"/>
              </w:rPr>
            </w:pPr>
            <w:r w:rsidRPr="00AB1C80">
              <w:rPr>
                <w:rFonts w:eastAsia="Times New Roman" w:cs="Arial"/>
                <w:sz w:val="20"/>
                <w:szCs w:val="20"/>
                <w:lang w:eastAsia="es-CO"/>
              </w:rPr>
              <w:t>Es un documento interesante ya que presenta un panorama general del manejo de los residuos mineros en la Unión Europea, las problemáticas e impactos que estos generan ambiental, social y económicamente. A su vez expone como las directivas formuladas han ido estableciendo lineamentos que enfocan la minería hacia la sostenibilidad, social y ambientalmente responsable. Dentro de estas alternativas se resalta el aprovechamiento de los residuos mineros almacenados en depósitos, aplicando nuevas tecnologías de extracción y recuperación del mineral remanente contenido en estos depósitos, identificando a su vez otros materiales aprovechables contenidos en estos desechos.</w:t>
            </w:r>
            <w:r w:rsidRPr="00AB1C80">
              <w:rPr>
                <w:rFonts w:eastAsia="Times New Roman" w:cs="Arial"/>
                <w:sz w:val="20"/>
                <w:szCs w:val="20"/>
                <w:lang w:eastAsia="es-CO"/>
              </w:rPr>
              <w:br/>
            </w:r>
            <w:r w:rsidRPr="00AB1C80">
              <w:rPr>
                <w:rFonts w:eastAsia="Times New Roman" w:cs="Arial"/>
                <w:sz w:val="20"/>
                <w:szCs w:val="20"/>
                <w:lang w:eastAsia="es-CO"/>
              </w:rPr>
              <w:br/>
              <w:t>Para el aprovechamiento de los residuos mineros mediante la extracción de mineral remanente es necesario tener en cuenta aspectos como la viabilidad económica, impactos ambientales que se pudiesen generar, infraestructura y cantidad de mineral almacenado, por lo cual es necesario realizar una caracterización y análisis minucioso para el desarrollo de estos proyectos.</w:t>
            </w:r>
          </w:p>
        </w:tc>
      </w:tr>
      <w:tr w:rsidR="00225621" w:rsidRPr="00AB1C80" w14:paraId="38075C07" w14:textId="77777777" w:rsidTr="00225621">
        <w:trPr>
          <w:trHeight w:val="20"/>
          <w:jc w:val="center"/>
        </w:trPr>
        <w:tc>
          <w:tcPr>
            <w:tcW w:w="996" w:type="dxa"/>
            <w:shd w:val="clear" w:color="auto" w:fill="auto"/>
            <w:vAlign w:val="center"/>
            <w:hideMark/>
          </w:tcPr>
          <w:p w14:paraId="0154D3AA" w14:textId="77777777" w:rsidR="00225621" w:rsidRPr="00AB1C80" w:rsidRDefault="00225621"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Perú</w:t>
            </w:r>
          </w:p>
        </w:tc>
        <w:tc>
          <w:tcPr>
            <w:tcW w:w="1708" w:type="dxa"/>
            <w:shd w:val="clear" w:color="auto" w:fill="auto"/>
            <w:vAlign w:val="center"/>
            <w:hideMark/>
          </w:tcPr>
          <w:p w14:paraId="2E48CEC4"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Caracterización Geotécnica y Diseño de Botaderos en Mina</w:t>
            </w:r>
          </w:p>
        </w:tc>
        <w:tc>
          <w:tcPr>
            <w:tcW w:w="3749" w:type="dxa"/>
            <w:shd w:val="clear" w:color="auto" w:fill="auto"/>
            <w:vAlign w:val="center"/>
            <w:hideMark/>
          </w:tcPr>
          <w:p w14:paraId="3A30FCE9"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Martin. Villanueva </w:t>
            </w:r>
            <w:r w:rsidRPr="00AB1C80">
              <w:rPr>
                <w:rFonts w:eastAsia="Times New Roman" w:cs="Arial"/>
                <w:color w:val="000000"/>
                <w:sz w:val="20"/>
                <w:szCs w:val="20"/>
                <w:lang w:eastAsia="es-CO"/>
              </w:rPr>
              <w:br/>
              <w:t>Erick. Lino &amp; Orlando Huaña</w:t>
            </w:r>
          </w:p>
        </w:tc>
        <w:tc>
          <w:tcPr>
            <w:tcW w:w="1263" w:type="dxa"/>
            <w:shd w:val="clear" w:color="auto" w:fill="auto"/>
            <w:vAlign w:val="center"/>
            <w:hideMark/>
          </w:tcPr>
          <w:p w14:paraId="04635578"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7021" w:type="dxa"/>
            <w:shd w:val="clear" w:color="auto" w:fill="auto"/>
            <w:vAlign w:val="center"/>
            <w:hideMark/>
          </w:tcPr>
          <w:p w14:paraId="71D29E14" w14:textId="77777777" w:rsidR="00225621" w:rsidRPr="00AB1C80" w:rsidRDefault="00225621"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Es un trabajo técnico con análisis geotécnico de un diseño de un botadero minero donde emplean el método de elementos finitos a través del software comercial </w:t>
            </w:r>
            <w:proofErr w:type="spellStart"/>
            <w:r w:rsidRPr="00AB1C80">
              <w:rPr>
                <w:rFonts w:eastAsia="Times New Roman" w:cs="Arial"/>
                <w:sz w:val="20"/>
                <w:szCs w:val="20"/>
                <w:lang w:eastAsia="es-CO"/>
              </w:rPr>
              <w:t>Plaxis</w:t>
            </w:r>
            <w:proofErr w:type="spellEnd"/>
            <w:r w:rsidRPr="00AB1C80">
              <w:rPr>
                <w:rFonts w:eastAsia="Times New Roman" w:cs="Arial"/>
                <w:sz w:val="20"/>
                <w:szCs w:val="20"/>
                <w:lang w:eastAsia="es-CO"/>
              </w:rPr>
              <w:t xml:space="preserve"> que no es difundida su aplicación en los estudios geotécnicos de depósitos de estériles en Colombia. Parece ser que en el Perú este modelo constitutivo y su proceso de calibración del estudio geotécnico en el diseño de un botadero minero es el primero que se realiza.</w:t>
            </w:r>
            <w:r w:rsidRPr="00AB1C80">
              <w:rPr>
                <w:rFonts w:eastAsia="Times New Roman" w:cs="Arial"/>
                <w:sz w:val="20"/>
                <w:szCs w:val="20"/>
                <w:lang w:eastAsia="es-CO"/>
              </w:rPr>
              <w:br/>
            </w:r>
            <w:r w:rsidRPr="00AB1C80">
              <w:rPr>
                <w:rFonts w:eastAsia="Times New Roman" w:cs="Arial"/>
                <w:sz w:val="20"/>
                <w:szCs w:val="20"/>
                <w:lang w:eastAsia="es-CO"/>
              </w:rPr>
              <w:br/>
              <w:t xml:space="preserve">Con relación al botadero de estériles no se encuentra información sobre las dimensiones geométricas, manera de vertido, forma de operación, tipo y materiales que disponen. Aunque no lo desarrollan en el artículo, se presenta el listado o descripción que hacen de los aspectos de los tres criterios que tienen en cuenta en el concepto de CRITERIOS DE DISEÑO: Criterios operacionales, Criterios de condiciones del sitio y Criterios geotécnicos, los </w:t>
            </w:r>
            <w:r w:rsidRPr="00AB1C80">
              <w:rPr>
                <w:rFonts w:eastAsia="Times New Roman" w:cs="Arial"/>
                <w:sz w:val="20"/>
                <w:szCs w:val="20"/>
                <w:lang w:eastAsia="es-CO"/>
              </w:rPr>
              <w:lastRenderedPageBreak/>
              <w:t>cuales se deben evaluar y considerar su inclusión o parte de ellos en la propuesta de lineamientos generales de disposición de estériles mineros, éstos se incluyen en una tabla del siguiente numeral.</w:t>
            </w:r>
          </w:p>
        </w:tc>
      </w:tr>
      <w:tr w:rsidR="00225621" w:rsidRPr="00AB1C80" w14:paraId="38392C18" w14:textId="77777777" w:rsidTr="00225621">
        <w:trPr>
          <w:trHeight w:val="20"/>
          <w:jc w:val="center"/>
        </w:trPr>
        <w:tc>
          <w:tcPr>
            <w:tcW w:w="996" w:type="dxa"/>
            <w:shd w:val="clear" w:color="auto" w:fill="auto"/>
            <w:vAlign w:val="center"/>
            <w:hideMark/>
          </w:tcPr>
          <w:p w14:paraId="0F6F91BE" w14:textId="77777777" w:rsidR="00225621" w:rsidRPr="00AB1C80" w:rsidRDefault="00225621"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Reino Unido</w:t>
            </w:r>
          </w:p>
        </w:tc>
        <w:tc>
          <w:tcPr>
            <w:tcW w:w="1708" w:type="dxa"/>
            <w:shd w:val="clear" w:color="auto" w:fill="auto"/>
            <w:vAlign w:val="center"/>
            <w:hideMark/>
          </w:tcPr>
          <w:p w14:paraId="4636E749"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Desarrollos y Desafíos en el Manejo de Residuos Mineros y Aguas en Europa</w:t>
            </w:r>
          </w:p>
        </w:tc>
        <w:tc>
          <w:tcPr>
            <w:tcW w:w="3749" w:type="dxa"/>
            <w:shd w:val="clear" w:color="auto" w:fill="auto"/>
            <w:vAlign w:val="center"/>
            <w:hideMark/>
          </w:tcPr>
          <w:p w14:paraId="4353BD60" w14:textId="77777777" w:rsidR="00225621" w:rsidRPr="00AB1C80" w:rsidRDefault="00225621" w:rsidP="00AB1C80">
            <w:pPr>
              <w:spacing w:line="276" w:lineRule="auto"/>
              <w:jc w:val="center"/>
              <w:rPr>
                <w:rFonts w:eastAsia="Times New Roman" w:cs="Arial"/>
                <w:color w:val="202124"/>
                <w:sz w:val="20"/>
                <w:szCs w:val="20"/>
                <w:lang w:eastAsia="es-CO"/>
              </w:rPr>
            </w:pPr>
            <w:r w:rsidRPr="00AB1C80">
              <w:rPr>
                <w:rFonts w:eastAsia="Times New Roman" w:cs="Arial"/>
                <w:color w:val="202124"/>
                <w:sz w:val="20"/>
                <w:szCs w:val="20"/>
                <w:lang w:eastAsia="es-CO"/>
              </w:rPr>
              <w:t>HERO Group, School Of Civil Engineering &amp; Geosciences, Newcastle University, Newcastle Upon Tyne, UK. NE1 7RU. (E:Adam.Jarvis@Newcastle.Ac.Uk; T: +44 (0)191 246 4871); Division Of Geosciences, Luleå University Of Technology, SE-971 87Luleå, Sweden; 3Golder Associates Ireland Limited, Town Centre House, Dublin Road, Naas, Co. Kildare, Ireland; 4Swedish Association Of Mines, Mineral And Metal Producers, Sweden; 5University Of Oviedo, Spain; 6University Of Miskolc, Faculty Of Earth Science And Engineering, Hungary; 7Kjeøy Research &amp; Education Center, Kjeøy, 8412 Vestbygd, Norway; 8Cape Breton University, P.O. Box 5300, Sydney, Nova Scotia, B1P 6L2, Canadá.</w:t>
            </w:r>
          </w:p>
        </w:tc>
        <w:tc>
          <w:tcPr>
            <w:tcW w:w="1263" w:type="dxa"/>
            <w:shd w:val="clear" w:color="auto" w:fill="auto"/>
            <w:vAlign w:val="center"/>
            <w:hideMark/>
          </w:tcPr>
          <w:p w14:paraId="7E94EE41"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w:t>
            </w:r>
          </w:p>
        </w:tc>
        <w:tc>
          <w:tcPr>
            <w:tcW w:w="7021" w:type="dxa"/>
            <w:shd w:val="clear" w:color="auto" w:fill="auto"/>
            <w:vAlign w:val="center"/>
            <w:hideMark/>
          </w:tcPr>
          <w:p w14:paraId="32852069" w14:textId="77777777" w:rsidR="00225621" w:rsidRPr="00AB1C80" w:rsidRDefault="00225621" w:rsidP="00AE4D25">
            <w:pPr>
              <w:spacing w:line="276" w:lineRule="auto"/>
              <w:rPr>
                <w:rFonts w:eastAsia="Times New Roman" w:cs="Arial"/>
                <w:sz w:val="20"/>
                <w:szCs w:val="20"/>
                <w:lang w:eastAsia="es-CO"/>
              </w:rPr>
            </w:pPr>
            <w:r w:rsidRPr="00AB1C80">
              <w:rPr>
                <w:rFonts w:eastAsia="Times New Roman" w:cs="Arial"/>
                <w:sz w:val="20"/>
                <w:szCs w:val="20"/>
                <w:lang w:eastAsia="es-CO"/>
              </w:rPr>
              <w:t>En el documento se aborda como los residuos mineros abandonados, son fundamentales para el desarrollo de procesos relacionados a la formación de drenaje acido de mina y liberación de metales que contaminan las fuentes hídricas superficiales, subterráneas y suelos. Por lo cual ha sido necesario el desarrollo de diferentes iniciativas enfocadas a la gestión de desechos mineros y agua.</w:t>
            </w:r>
            <w:r w:rsidRPr="00AB1C80">
              <w:rPr>
                <w:rFonts w:eastAsia="Times New Roman" w:cs="Arial"/>
                <w:sz w:val="20"/>
                <w:szCs w:val="20"/>
                <w:lang w:eastAsia="es-CO"/>
              </w:rPr>
              <w:br/>
            </w:r>
            <w:r w:rsidRPr="00AB1C80">
              <w:rPr>
                <w:rFonts w:eastAsia="Times New Roman" w:cs="Arial"/>
                <w:sz w:val="20"/>
                <w:szCs w:val="20"/>
                <w:lang w:eastAsia="es-CO"/>
              </w:rPr>
              <w:br/>
              <w:t>Es interesante como después de tomar muestras de agua y roca de proyectos mineros abandonados en todo Europa, el resultado de sus análisis permite interpretar que la mayor parte de los minerales abandonados en las pilas o depósitos presentan un significativo potencial de generación de drenaje acido de mina y liberación de metales que pueden incidir en la contaminación de fuentes hídricas cercanas, generando diferentes problemáticas medio- ambientales y sociales. Aunque los estudios realizados no son concluyentes permiten establecer la necesidad de definir directrices y lineamientos que permitan ser una herramienta eficiente para la gestión y manejo de los residuos abandonados. Siendo uno de los principales argumentos para la formulación de las políticas, iniciativas y directrices desarrolladas y en curso.</w:t>
            </w:r>
          </w:p>
        </w:tc>
      </w:tr>
    </w:tbl>
    <w:p w14:paraId="57E3BEB3" w14:textId="77777777" w:rsidR="005D5190" w:rsidRPr="00AB1C80" w:rsidRDefault="005D5190" w:rsidP="00AB1C80">
      <w:pPr>
        <w:pStyle w:val="Fuente"/>
        <w:spacing w:line="276" w:lineRule="auto"/>
        <w:rPr>
          <w:rFonts w:cs="Arial"/>
          <w:lang w:val="es-CO"/>
        </w:rPr>
      </w:pPr>
      <w:r w:rsidRPr="00AB1C80">
        <w:rPr>
          <w:rFonts w:cs="Arial"/>
          <w:lang w:val="es-CO"/>
        </w:rPr>
        <w:t>Fuente: ATG Ltda., 2021.</w:t>
      </w:r>
    </w:p>
    <w:p w14:paraId="7B746805" w14:textId="77777777" w:rsidR="00225621" w:rsidRPr="00AB1C80" w:rsidRDefault="00225621" w:rsidP="00AB1C80">
      <w:pPr>
        <w:spacing w:line="276" w:lineRule="auto"/>
        <w:rPr>
          <w:rFonts w:cs="Arial"/>
        </w:rPr>
      </w:pPr>
    </w:p>
    <w:p w14:paraId="2D946B79" w14:textId="42A4B8BB" w:rsidR="005D5190" w:rsidRPr="00AB1C80" w:rsidRDefault="005D5190" w:rsidP="00AB1C80">
      <w:pPr>
        <w:pStyle w:val="Descripcin"/>
        <w:spacing w:line="276" w:lineRule="auto"/>
        <w:rPr>
          <w:rFonts w:cs="Arial"/>
          <w:lang w:val="es-CO"/>
        </w:rPr>
      </w:pPr>
      <w:bookmarkStart w:id="69" w:name="_Ref86249944"/>
      <w:bookmarkStart w:id="70" w:name="_Toc86333018"/>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13</w:t>
      </w:r>
      <w:r w:rsidRPr="00AB1C80">
        <w:rPr>
          <w:rFonts w:cs="Arial"/>
          <w:lang w:val="es-CO"/>
        </w:rPr>
        <w:fldChar w:fldCharType="end"/>
      </w:r>
      <w:bookmarkEnd w:id="69"/>
      <w:r w:rsidRPr="00AB1C80">
        <w:rPr>
          <w:rFonts w:cs="Arial"/>
          <w:lang w:val="es-CO"/>
        </w:rPr>
        <w:t xml:space="preserve">. Revisión de información internacional por </w:t>
      </w:r>
      <w:r w:rsidR="00893FE9" w:rsidRPr="00AB1C80">
        <w:rPr>
          <w:rFonts w:cs="Arial"/>
          <w:lang w:val="es-CO"/>
        </w:rPr>
        <w:t>documentos oficinales</w:t>
      </w:r>
      <w:r w:rsidRPr="00AB1C80">
        <w:rPr>
          <w:rFonts w:cs="Arial"/>
          <w:lang w:val="es-CO"/>
        </w:rPr>
        <w:t xml:space="preserve"> para la gestión y manejo de estériles.</w:t>
      </w:r>
      <w:bookmarkEnd w:id="70"/>
    </w:p>
    <w:tbl>
      <w:tblPr>
        <w:tblW w:w="14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8"/>
        <w:gridCol w:w="1701"/>
        <w:gridCol w:w="3827"/>
        <w:gridCol w:w="1276"/>
        <w:gridCol w:w="6951"/>
      </w:tblGrid>
      <w:tr w:rsidR="00225621" w:rsidRPr="00AB1C80" w14:paraId="4089FF87" w14:textId="77777777" w:rsidTr="00225621">
        <w:trPr>
          <w:trHeight w:val="20"/>
          <w:tblHeader/>
          <w:jc w:val="center"/>
        </w:trPr>
        <w:tc>
          <w:tcPr>
            <w:tcW w:w="988" w:type="dxa"/>
            <w:shd w:val="clear" w:color="1E345C" w:fill="1E345C"/>
            <w:vAlign w:val="center"/>
            <w:hideMark/>
          </w:tcPr>
          <w:p w14:paraId="44CCA115"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 xml:space="preserve">País </w:t>
            </w:r>
          </w:p>
        </w:tc>
        <w:tc>
          <w:tcPr>
            <w:tcW w:w="1701" w:type="dxa"/>
            <w:shd w:val="clear" w:color="1E345C" w:fill="1E345C"/>
            <w:vAlign w:val="center"/>
            <w:hideMark/>
          </w:tcPr>
          <w:p w14:paraId="794C71E6"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3827" w:type="dxa"/>
            <w:shd w:val="clear" w:color="1E345C" w:fill="1E345C"/>
            <w:vAlign w:val="center"/>
            <w:hideMark/>
          </w:tcPr>
          <w:p w14:paraId="04BA8B81"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76" w:type="dxa"/>
            <w:shd w:val="clear" w:color="1E345C" w:fill="1E345C"/>
            <w:vAlign w:val="center"/>
            <w:hideMark/>
          </w:tcPr>
          <w:p w14:paraId="03868C97"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6951" w:type="dxa"/>
            <w:shd w:val="clear" w:color="1E345C" w:fill="1E345C"/>
            <w:vAlign w:val="center"/>
            <w:hideMark/>
          </w:tcPr>
          <w:p w14:paraId="5BCC1D39" w14:textId="77777777" w:rsidR="00225621" w:rsidRPr="00AB1C80" w:rsidRDefault="00225621"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25621" w:rsidRPr="00AB1C80" w14:paraId="4640FB6F" w14:textId="77777777" w:rsidTr="00225621">
        <w:trPr>
          <w:trHeight w:val="20"/>
          <w:jc w:val="center"/>
        </w:trPr>
        <w:tc>
          <w:tcPr>
            <w:tcW w:w="988" w:type="dxa"/>
            <w:shd w:val="clear" w:color="auto" w:fill="auto"/>
            <w:vAlign w:val="center"/>
            <w:hideMark/>
          </w:tcPr>
          <w:p w14:paraId="2FF7B18E" w14:textId="77777777" w:rsidR="00225621" w:rsidRPr="00AB1C80" w:rsidRDefault="00225621"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Canadá</w:t>
            </w:r>
          </w:p>
        </w:tc>
        <w:tc>
          <w:tcPr>
            <w:tcW w:w="1701" w:type="dxa"/>
            <w:shd w:val="clear" w:color="auto" w:fill="auto"/>
            <w:vAlign w:val="center"/>
            <w:hideMark/>
          </w:tcPr>
          <w:p w14:paraId="4C636FFF"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Código Ambiental de </w:t>
            </w:r>
            <w:r w:rsidRPr="00AB1C80">
              <w:rPr>
                <w:rFonts w:eastAsia="Times New Roman" w:cs="Arial"/>
                <w:color w:val="000000"/>
                <w:sz w:val="20"/>
                <w:szCs w:val="20"/>
                <w:lang w:eastAsia="es-CO"/>
              </w:rPr>
              <w:lastRenderedPageBreak/>
              <w:t>Practica para Minas de Metal</w:t>
            </w:r>
          </w:p>
        </w:tc>
        <w:tc>
          <w:tcPr>
            <w:tcW w:w="3827" w:type="dxa"/>
            <w:shd w:val="clear" w:color="auto" w:fill="auto"/>
            <w:vAlign w:val="center"/>
            <w:hideMark/>
          </w:tcPr>
          <w:p w14:paraId="1DCC7A8E"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 xml:space="preserve">Sección de Minería, División de Minería y Procesamiento Dirección de Sectores </w:t>
            </w:r>
            <w:r w:rsidRPr="00AB1C80">
              <w:rPr>
                <w:rFonts w:eastAsia="Times New Roman" w:cs="Arial"/>
                <w:color w:val="000000"/>
                <w:sz w:val="20"/>
                <w:szCs w:val="20"/>
                <w:lang w:eastAsia="es-CO"/>
              </w:rPr>
              <w:lastRenderedPageBreak/>
              <w:t>Públicos y de Recursos Rama de Administración Ambiental Environment Canadá</w:t>
            </w:r>
          </w:p>
        </w:tc>
        <w:tc>
          <w:tcPr>
            <w:tcW w:w="1276" w:type="dxa"/>
            <w:shd w:val="clear" w:color="auto" w:fill="auto"/>
            <w:vAlign w:val="center"/>
            <w:hideMark/>
          </w:tcPr>
          <w:p w14:paraId="48866929" w14:textId="77777777" w:rsidR="00225621" w:rsidRPr="00AB1C80" w:rsidRDefault="00225621"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2009</w:t>
            </w:r>
          </w:p>
        </w:tc>
        <w:tc>
          <w:tcPr>
            <w:tcW w:w="6951" w:type="dxa"/>
            <w:shd w:val="clear" w:color="auto" w:fill="auto"/>
            <w:vAlign w:val="center"/>
            <w:hideMark/>
          </w:tcPr>
          <w:p w14:paraId="677D1FFC" w14:textId="77777777" w:rsidR="00225621" w:rsidRPr="00AB1C80" w:rsidRDefault="00225621"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En el código ambiental se proponen todas las prácticas y actividades encaminadas a una adecuada gestión ambiental durante todas las etapas del </w:t>
            </w:r>
            <w:r w:rsidRPr="00AB1C80">
              <w:rPr>
                <w:rFonts w:eastAsia="Times New Roman" w:cs="Arial"/>
                <w:sz w:val="20"/>
                <w:szCs w:val="20"/>
                <w:lang w:eastAsia="es-CO"/>
              </w:rPr>
              <w:lastRenderedPageBreak/>
              <w:t>ciclo de vida de un proyecto minero, abordando temas como la evaluación, monitoreo e inspección ambiental, gestión del riesgo, sistemas de gestión, prevención y vigilancia, mediante el desarrollo de planes de manejo ambiental y diferentes instrumentos. En cuanto material estéril se presentan orientaciones para el desarrollo de actividades de gestión y manejo, durante todas las etapas del ciclo de vida del proyecto.</w:t>
            </w:r>
            <w:r w:rsidRPr="00AB1C80">
              <w:rPr>
                <w:rFonts w:eastAsia="Times New Roman" w:cs="Arial"/>
                <w:sz w:val="20"/>
                <w:szCs w:val="20"/>
                <w:lang w:eastAsia="es-CO"/>
              </w:rPr>
              <w:br/>
            </w:r>
            <w:r w:rsidRPr="00AB1C80">
              <w:rPr>
                <w:rFonts w:eastAsia="Times New Roman" w:cs="Arial"/>
                <w:sz w:val="20"/>
                <w:szCs w:val="20"/>
                <w:lang w:eastAsia="es-CO"/>
              </w:rPr>
              <w:br/>
              <w:t xml:space="preserve">Existen diferencias significativas entre las minas a cielo abierto y las minas subterráneas en términos de implicaciones para la gestión ambiental. Una de las diferencias más significativas es que las minas a cielo abierto dan como resultado un área con mayor alteración de la superficie y tienden a producir volúmenes mucho mayores de roca estéril que la minería subterránea. </w:t>
            </w:r>
            <w:r w:rsidRPr="00AB1C80">
              <w:rPr>
                <w:rFonts w:eastAsia="Times New Roman" w:cs="Arial"/>
                <w:sz w:val="20"/>
                <w:szCs w:val="20"/>
                <w:lang w:eastAsia="es-CO"/>
              </w:rPr>
              <w:br/>
            </w:r>
            <w:r w:rsidRPr="00AB1C80">
              <w:rPr>
                <w:rFonts w:eastAsia="Times New Roman" w:cs="Arial"/>
                <w:sz w:val="20"/>
                <w:szCs w:val="20"/>
                <w:lang w:eastAsia="es-CO"/>
              </w:rPr>
              <w:br/>
              <w:t>Un factor importante para considerar en la gestión del material estéril es la liberación de material particulado durante su transporte que en la mayoría de las ocasiones implica la utilización de vehículos pesados y durante su disposición en la que el material se ve expuesto a las condiciones ambientales.</w:t>
            </w:r>
          </w:p>
        </w:tc>
      </w:tr>
    </w:tbl>
    <w:p w14:paraId="419A34A1" w14:textId="31EBD0AF" w:rsidR="005D5190" w:rsidRPr="00AB1C80" w:rsidRDefault="005D5190" w:rsidP="00AB1C80">
      <w:pPr>
        <w:pStyle w:val="Fuente"/>
        <w:spacing w:line="276" w:lineRule="auto"/>
        <w:rPr>
          <w:rFonts w:cs="Arial"/>
          <w:lang w:val="es-CO"/>
        </w:rPr>
      </w:pPr>
      <w:r w:rsidRPr="00AB1C80">
        <w:rPr>
          <w:rFonts w:cs="Arial"/>
          <w:lang w:val="es-CO"/>
        </w:rPr>
        <w:lastRenderedPageBreak/>
        <w:t>Fuente: ATG Ltda., 2021.</w:t>
      </w:r>
    </w:p>
    <w:p w14:paraId="0CC6326A" w14:textId="2A88C9A7" w:rsidR="005D5190" w:rsidRPr="00AB1C80" w:rsidRDefault="005D5190" w:rsidP="00AB1C80">
      <w:pPr>
        <w:spacing w:line="276" w:lineRule="auto"/>
        <w:jc w:val="center"/>
        <w:rPr>
          <w:rFonts w:cs="Arial"/>
          <w:color w:val="000000" w:themeColor="text1"/>
        </w:rPr>
      </w:pPr>
    </w:p>
    <w:p w14:paraId="7983646E" w14:textId="6939CEA2" w:rsidR="00893FE9" w:rsidRPr="00AB1C80" w:rsidRDefault="00893FE9" w:rsidP="00AB1C80">
      <w:pPr>
        <w:pStyle w:val="Descripcin"/>
        <w:spacing w:line="276" w:lineRule="auto"/>
        <w:rPr>
          <w:rFonts w:cs="Arial"/>
          <w:lang w:val="es-CO"/>
        </w:rPr>
      </w:pPr>
      <w:bookmarkStart w:id="71" w:name="_Ref86249945"/>
      <w:bookmarkStart w:id="72" w:name="_Toc86333019"/>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14</w:t>
      </w:r>
      <w:r w:rsidRPr="00AB1C80">
        <w:rPr>
          <w:rFonts w:cs="Arial"/>
          <w:lang w:val="es-CO"/>
        </w:rPr>
        <w:fldChar w:fldCharType="end"/>
      </w:r>
      <w:bookmarkEnd w:id="71"/>
      <w:r w:rsidRPr="00AB1C80">
        <w:rPr>
          <w:rFonts w:cs="Arial"/>
          <w:lang w:val="es-CO"/>
        </w:rPr>
        <w:t>. Revisión de información internacional por guías técnicas para la gestión y manejo de estériles.</w:t>
      </w:r>
      <w:bookmarkEnd w:id="72"/>
    </w:p>
    <w:tbl>
      <w:tblPr>
        <w:tblW w:w="1488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35"/>
        <w:gridCol w:w="1701"/>
        <w:gridCol w:w="3827"/>
        <w:gridCol w:w="1276"/>
        <w:gridCol w:w="6946"/>
      </w:tblGrid>
      <w:tr w:rsidR="008B0446" w:rsidRPr="00AB1C80" w14:paraId="6B89DA8D" w14:textId="77777777" w:rsidTr="008B0446">
        <w:trPr>
          <w:trHeight w:val="20"/>
          <w:tblHeader/>
        </w:trPr>
        <w:tc>
          <w:tcPr>
            <w:tcW w:w="1135" w:type="dxa"/>
            <w:shd w:val="clear" w:color="1E345C" w:fill="1E345C"/>
            <w:vAlign w:val="center"/>
            <w:hideMark/>
          </w:tcPr>
          <w:p w14:paraId="43891C64" w14:textId="77777777" w:rsidR="008B0446" w:rsidRPr="00AB1C80" w:rsidRDefault="008B044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 xml:space="preserve">País </w:t>
            </w:r>
          </w:p>
        </w:tc>
        <w:tc>
          <w:tcPr>
            <w:tcW w:w="1701" w:type="dxa"/>
            <w:shd w:val="clear" w:color="1E345C" w:fill="1E345C"/>
            <w:vAlign w:val="center"/>
            <w:hideMark/>
          </w:tcPr>
          <w:p w14:paraId="7E12F7C0" w14:textId="77777777" w:rsidR="008B0446" w:rsidRPr="00AB1C80" w:rsidRDefault="008B044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3827" w:type="dxa"/>
            <w:shd w:val="clear" w:color="1E345C" w:fill="1E345C"/>
            <w:vAlign w:val="center"/>
            <w:hideMark/>
          </w:tcPr>
          <w:p w14:paraId="38B76F45" w14:textId="77777777" w:rsidR="008B0446" w:rsidRPr="00AB1C80" w:rsidRDefault="008B044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76" w:type="dxa"/>
            <w:shd w:val="clear" w:color="1E345C" w:fill="1E345C"/>
            <w:vAlign w:val="center"/>
            <w:hideMark/>
          </w:tcPr>
          <w:p w14:paraId="703480E8" w14:textId="77777777" w:rsidR="008B0446" w:rsidRPr="00AB1C80" w:rsidRDefault="008B044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6946" w:type="dxa"/>
            <w:shd w:val="clear" w:color="1E345C" w:fill="1E345C"/>
            <w:vAlign w:val="center"/>
            <w:hideMark/>
          </w:tcPr>
          <w:p w14:paraId="29423221" w14:textId="77777777" w:rsidR="008B0446" w:rsidRPr="00AB1C80" w:rsidRDefault="008B044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8B0446" w:rsidRPr="00AB1C80" w14:paraId="73A06999" w14:textId="77777777" w:rsidTr="008B0446">
        <w:trPr>
          <w:trHeight w:val="20"/>
        </w:trPr>
        <w:tc>
          <w:tcPr>
            <w:tcW w:w="1135" w:type="dxa"/>
            <w:shd w:val="clear" w:color="auto" w:fill="auto"/>
            <w:vAlign w:val="center"/>
            <w:hideMark/>
          </w:tcPr>
          <w:p w14:paraId="60B18446"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Chile</w:t>
            </w:r>
          </w:p>
        </w:tc>
        <w:tc>
          <w:tcPr>
            <w:tcW w:w="1701" w:type="dxa"/>
            <w:shd w:val="clear" w:color="auto" w:fill="auto"/>
            <w:vAlign w:val="center"/>
            <w:hideMark/>
          </w:tcPr>
          <w:p w14:paraId="152C5EA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Análisis del Plan de Manejo de Residuos Sólidos y Propuesta de Mejora en la Unidad Minera Americana </w:t>
            </w:r>
          </w:p>
        </w:tc>
        <w:tc>
          <w:tcPr>
            <w:tcW w:w="3827" w:type="dxa"/>
            <w:shd w:val="clear" w:color="auto" w:fill="auto"/>
            <w:vAlign w:val="center"/>
            <w:hideMark/>
          </w:tcPr>
          <w:p w14:paraId="6238E63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Margarita Isabel Hernández Egoavil</w:t>
            </w:r>
          </w:p>
        </w:tc>
        <w:tc>
          <w:tcPr>
            <w:tcW w:w="1276" w:type="dxa"/>
            <w:shd w:val="clear" w:color="auto" w:fill="auto"/>
            <w:vAlign w:val="center"/>
            <w:hideMark/>
          </w:tcPr>
          <w:p w14:paraId="3BE5B8BB"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6946" w:type="dxa"/>
            <w:shd w:val="clear" w:color="auto" w:fill="auto"/>
            <w:vAlign w:val="center"/>
            <w:hideMark/>
          </w:tcPr>
          <w:p w14:paraId="76ECC076"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El documento es muy interesante dado que se enfoca en la estabilidad física de todas las instalaciones mineras, llámense minas, botaderos y depósitos de relaves; para el caso que presenta la consultoría, obviamente se enfocará en el tema de los botaderos y su comportamiento geotécnico, principales mecanismos de falla, etc.</w:t>
            </w:r>
            <w:r w:rsidRPr="00AB1C80">
              <w:rPr>
                <w:rFonts w:eastAsia="Times New Roman" w:cs="Arial"/>
                <w:sz w:val="20"/>
                <w:szCs w:val="20"/>
                <w:lang w:eastAsia="es-CO"/>
              </w:rPr>
              <w:br/>
            </w:r>
            <w:r w:rsidRPr="00AB1C80">
              <w:rPr>
                <w:rFonts w:eastAsia="Times New Roman" w:cs="Arial"/>
                <w:sz w:val="20"/>
                <w:szCs w:val="20"/>
                <w:lang w:eastAsia="es-CO"/>
              </w:rPr>
              <w:br/>
              <w:t xml:space="preserve">El Capítulo 5 se relaciona específicamente con la estabilidad de depósitos de </w:t>
            </w:r>
            <w:r w:rsidRPr="00AB1C80">
              <w:rPr>
                <w:rFonts w:eastAsia="Times New Roman" w:cs="Arial"/>
                <w:sz w:val="20"/>
                <w:szCs w:val="20"/>
                <w:lang w:eastAsia="es-CO"/>
              </w:rPr>
              <w:lastRenderedPageBreak/>
              <w:t>residuos masivos mineros, y en esta estabilidad física se basa en la construcción de un modelo geotécnico, el cual debe considerar, modelos geológicos; estructurales; sobre calidad del macizo; hidrogeológicos; esfuerzos y sismicidad, entre otros que sean relevantes.</w:t>
            </w:r>
            <w:r w:rsidRPr="00AB1C80">
              <w:rPr>
                <w:rFonts w:eastAsia="Times New Roman" w:cs="Arial"/>
                <w:sz w:val="20"/>
                <w:szCs w:val="20"/>
                <w:lang w:eastAsia="es-CO"/>
              </w:rPr>
              <w:br/>
            </w:r>
            <w:r w:rsidRPr="00AB1C80">
              <w:rPr>
                <w:rFonts w:eastAsia="Times New Roman" w:cs="Arial"/>
                <w:sz w:val="20"/>
                <w:szCs w:val="20"/>
                <w:lang w:eastAsia="es-CO"/>
              </w:rPr>
              <w:br/>
              <w:t>A partir de la información base y del modelo geotécnico del macizo, se definen los distintos mecanismos de inestabilidad que pueden afectar el depósito de estériles o escombrera, identificando las consecuencias geomecánicas y la magnitud de estas.</w:t>
            </w:r>
          </w:p>
        </w:tc>
      </w:tr>
      <w:tr w:rsidR="008B0446" w:rsidRPr="00AB1C80" w14:paraId="21182315" w14:textId="77777777" w:rsidTr="008B0446">
        <w:trPr>
          <w:trHeight w:val="20"/>
        </w:trPr>
        <w:tc>
          <w:tcPr>
            <w:tcW w:w="1135" w:type="dxa"/>
            <w:shd w:val="clear" w:color="auto" w:fill="auto"/>
            <w:vAlign w:val="center"/>
            <w:hideMark/>
          </w:tcPr>
          <w:p w14:paraId="572B99CE"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Chile</w:t>
            </w:r>
          </w:p>
        </w:tc>
        <w:tc>
          <w:tcPr>
            <w:tcW w:w="1701" w:type="dxa"/>
            <w:shd w:val="clear" w:color="auto" w:fill="auto"/>
            <w:vAlign w:val="center"/>
            <w:hideMark/>
          </w:tcPr>
          <w:p w14:paraId="3EB84BE1"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Gestión de Residuos Industriales Solidos Mineros y Buenas Practicas </w:t>
            </w:r>
          </w:p>
        </w:tc>
        <w:tc>
          <w:tcPr>
            <w:tcW w:w="3827" w:type="dxa"/>
            <w:shd w:val="clear" w:color="auto" w:fill="auto"/>
            <w:vAlign w:val="center"/>
            <w:hideMark/>
          </w:tcPr>
          <w:p w14:paraId="3F43BAA0"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Minería, Subsecretaria de Minería y Consejo Minero</w:t>
            </w:r>
          </w:p>
        </w:tc>
        <w:tc>
          <w:tcPr>
            <w:tcW w:w="1276" w:type="dxa"/>
            <w:shd w:val="clear" w:color="auto" w:fill="auto"/>
            <w:vAlign w:val="center"/>
            <w:hideMark/>
          </w:tcPr>
          <w:p w14:paraId="245B5555"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2002</w:t>
            </w:r>
          </w:p>
        </w:tc>
        <w:tc>
          <w:tcPr>
            <w:tcW w:w="6946" w:type="dxa"/>
            <w:shd w:val="clear" w:color="auto" w:fill="auto"/>
            <w:vAlign w:val="center"/>
            <w:hideMark/>
          </w:tcPr>
          <w:p w14:paraId="5EE5631C" w14:textId="1A555F8D"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El documento clasifica los residuos en dos tipos:</w:t>
            </w:r>
            <w:r w:rsidRPr="00AB1C80">
              <w:rPr>
                <w:rFonts w:eastAsia="Times New Roman" w:cs="Arial"/>
                <w:sz w:val="20"/>
                <w:szCs w:val="20"/>
                <w:lang w:eastAsia="es-CO"/>
              </w:rPr>
              <w:br/>
              <w:t>RESIDUOS MINEROS MASIVOS</w:t>
            </w:r>
            <w:r w:rsidRPr="00AB1C80">
              <w:rPr>
                <w:rFonts w:eastAsia="Times New Roman" w:cs="Arial"/>
                <w:sz w:val="20"/>
                <w:szCs w:val="20"/>
                <w:lang w:eastAsia="es-CO"/>
              </w:rPr>
              <w:br/>
              <w:t>1. Residuos de extracción</w:t>
            </w:r>
            <w:r w:rsidRPr="00AB1C80">
              <w:rPr>
                <w:rFonts w:eastAsia="Times New Roman" w:cs="Arial"/>
                <w:sz w:val="20"/>
                <w:szCs w:val="20"/>
                <w:lang w:eastAsia="es-CO"/>
              </w:rPr>
              <w:br/>
              <w:t>Estériles o lastre (sin valor económico)</w:t>
            </w:r>
            <w:r w:rsidRPr="00AB1C80">
              <w:rPr>
                <w:rFonts w:eastAsia="Times New Roman" w:cs="Arial"/>
                <w:sz w:val="20"/>
                <w:szCs w:val="20"/>
                <w:lang w:eastAsia="es-CO"/>
              </w:rPr>
              <w:br/>
              <w:t>Minerales de baja ley (con posibilidad de procesarlo en un futuro, sin interés en la actualidad)</w:t>
            </w:r>
            <w:r w:rsidRPr="00AB1C80">
              <w:rPr>
                <w:rFonts w:eastAsia="Times New Roman" w:cs="Arial"/>
                <w:sz w:val="20"/>
                <w:szCs w:val="20"/>
                <w:lang w:eastAsia="es-CO"/>
              </w:rPr>
              <w:br/>
              <w:t>Desmontes de minas subterráneas (proveniente de excavaciones para hacer labores mineras (guías, galerías, rampas, cruzadas, tambores, etc.)</w:t>
            </w:r>
            <w:r w:rsidRPr="00AB1C80">
              <w:rPr>
                <w:rFonts w:eastAsia="Times New Roman" w:cs="Arial"/>
                <w:sz w:val="20"/>
                <w:szCs w:val="20"/>
                <w:lang w:eastAsia="es-CO"/>
              </w:rPr>
              <w:br/>
              <w:t>2. Residuos de Flotación</w:t>
            </w:r>
            <w:r w:rsidRPr="00AB1C80">
              <w:rPr>
                <w:rFonts w:eastAsia="Times New Roman" w:cs="Arial"/>
                <w:sz w:val="20"/>
                <w:szCs w:val="20"/>
                <w:lang w:eastAsia="es-CO"/>
              </w:rPr>
              <w:br/>
              <w:t>Relaves (50% sólidos y 50% aguas en promedio) en el que ya se ha extraído la fracción de mineral valioso y se depositan en presas o depósitos de relaves)</w:t>
            </w:r>
            <w:r w:rsidRPr="00AB1C80">
              <w:rPr>
                <w:rFonts w:eastAsia="Times New Roman" w:cs="Arial"/>
                <w:sz w:val="20"/>
                <w:szCs w:val="20"/>
                <w:lang w:eastAsia="es-CO"/>
              </w:rPr>
              <w:br/>
              <w:t>3. Residuos de fundición</w:t>
            </w:r>
            <w:r w:rsidRPr="00AB1C80">
              <w:rPr>
                <w:rFonts w:eastAsia="Times New Roman" w:cs="Arial"/>
                <w:sz w:val="20"/>
                <w:szCs w:val="20"/>
                <w:lang w:eastAsia="es-CO"/>
              </w:rPr>
              <w:br/>
              <w:t>Escorias: producidas en fundición de concentrados de metales. Se disponen en botaderos</w:t>
            </w:r>
            <w:r w:rsidRPr="00AB1C80">
              <w:rPr>
                <w:rFonts w:eastAsia="Times New Roman" w:cs="Arial"/>
                <w:sz w:val="20"/>
                <w:szCs w:val="20"/>
                <w:lang w:eastAsia="es-CO"/>
              </w:rPr>
              <w:br/>
              <w:t>4. Residuos de lixiviación</w:t>
            </w:r>
            <w:r w:rsidRPr="00AB1C80">
              <w:rPr>
                <w:rFonts w:eastAsia="Times New Roman" w:cs="Arial"/>
                <w:sz w:val="20"/>
                <w:szCs w:val="20"/>
                <w:lang w:eastAsia="es-CO"/>
              </w:rPr>
              <w:br/>
              <w:t>Ripios. Resultado de mineral triturado que pasa por un fluido lixiviante (ácido sulfúrico, cianuro), solubilizando el metal de interés. Lo que queda es un ripio que se puede disponer en nuevas pilas. Su disposición se hace en sitios impermeabilizados para evitar el escurrimiento de soluciones ácidas.  No son peligrosos si se disponen adecuadamente.</w:t>
            </w:r>
            <w:r w:rsidRPr="00AB1C80">
              <w:rPr>
                <w:rFonts w:eastAsia="Times New Roman" w:cs="Arial"/>
                <w:sz w:val="20"/>
                <w:szCs w:val="20"/>
                <w:lang w:eastAsia="es-CO"/>
              </w:rPr>
              <w:br/>
              <w:t>RESIDUOS INDUSTRIALES</w:t>
            </w:r>
            <w:r w:rsidRPr="00AB1C80">
              <w:rPr>
                <w:rFonts w:eastAsia="Times New Roman" w:cs="Arial"/>
                <w:sz w:val="20"/>
                <w:szCs w:val="20"/>
                <w:lang w:eastAsia="es-CO"/>
              </w:rPr>
              <w:br/>
            </w:r>
            <w:r w:rsidRPr="00AB1C80">
              <w:rPr>
                <w:rFonts w:eastAsia="Times New Roman" w:cs="Arial"/>
                <w:sz w:val="20"/>
                <w:szCs w:val="20"/>
                <w:lang w:eastAsia="es-CO"/>
              </w:rPr>
              <w:lastRenderedPageBreak/>
              <w:t>1. Residuos mineros.</w:t>
            </w:r>
            <w:r w:rsidRPr="00AB1C80">
              <w:rPr>
                <w:rFonts w:eastAsia="Times New Roman" w:cs="Arial"/>
                <w:sz w:val="20"/>
                <w:szCs w:val="20"/>
                <w:lang w:eastAsia="es-CO"/>
              </w:rPr>
              <w:br/>
              <w:t>• Barros arseniacales. Provenientes de tratamiento de purificación de electrolitos mediante proceso de electrodepositación. Contiene cobre, arsénico, plomo.  Se reprocesan o se disponen finalmente.</w:t>
            </w:r>
            <w:r w:rsidRPr="00AB1C80">
              <w:rPr>
                <w:rFonts w:eastAsia="Times New Roman" w:cs="Arial"/>
                <w:sz w:val="20"/>
                <w:szCs w:val="20"/>
                <w:lang w:eastAsia="es-CO"/>
              </w:rPr>
              <w:br/>
              <w:t xml:space="preserve">• Borras. Son efluentes líquidos de planta de ácido.  Se neutralizan y se precipita para disponerlo en un botadero construido para tal fin </w:t>
            </w:r>
            <w:r w:rsidRPr="00AB1C80">
              <w:rPr>
                <w:rFonts w:eastAsia="Times New Roman" w:cs="Arial"/>
                <w:sz w:val="20"/>
                <w:szCs w:val="20"/>
                <w:lang w:eastAsia="es-CO"/>
              </w:rPr>
              <w:br/>
              <w:t xml:space="preserve">• Residuos de carbón y escorias de fundición.  Resultantes de </w:t>
            </w:r>
            <w:r w:rsidR="00A54D0A" w:rsidRPr="00AB1C80">
              <w:rPr>
                <w:rFonts w:eastAsia="Times New Roman" w:cs="Arial"/>
                <w:sz w:val="20"/>
                <w:szCs w:val="20"/>
                <w:lang w:eastAsia="es-CO"/>
              </w:rPr>
              <w:t>la</w:t>
            </w:r>
            <w:r w:rsidRPr="00AB1C80">
              <w:rPr>
                <w:rFonts w:eastAsia="Times New Roman" w:cs="Arial"/>
                <w:sz w:val="20"/>
                <w:szCs w:val="20"/>
                <w:lang w:eastAsia="es-CO"/>
              </w:rPr>
              <w:t xml:space="preserve"> minería de oro que tiene proceso de lixiviación.  Se almacenan y se comercializan posteriormente</w:t>
            </w:r>
            <w:r w:rsidRPr="00AB1C80">
              <w:rPr>
                <w:rFonts w:eastAsia="Times New Roman" w:cs="Arial"/>
                <w:sz w:val="20"/>
                <w:szCs w:val="20"/>
                <w:lang w:eastAsia="es-CO"/>
              </w:rPr>
              <w:br/>
              <w:t>2. Residuos por tipo de material:</w:t>
            </w:r>
            <w:r w:rsidRPr="00AB1C80">
              <w:rPr>
                <w:rFonts w:eastAsia="Times New Roman" w:cs="Arial"/>
                <w:sz w:val="20"/>
                <w:szCs w:val="20"/>
                <w:lang w:eastAsia="es-CO"/>
              </w:rPr>
              <w:br/>
              <w:t xml:space="preserve">• Aceros (de perforación, de desgaste, inoxidables), aislantes, maderas, plásticos, cauchos, vidrios, chatarra, </w:t>
            </w:r>
            <w:r w:rsidRPr="00AB1C80">
              <w:rPr>
                <w:rFonts w:eastAsia="Times New Roman" w:cs="Arial"/>
                <w:sz w:val="20"/>
                <w:szCs w:val="20"/>
                <w:lang w:eastAsia="es-CO"/>
              </w:rPr>
              <w:br/>
              <w:t>• Envases y embalajes: contenedores, tambores, sacos, papeles y cartones</w:t>
            </w:r>
            <w:r w:rsidRPr="00AB1C80">
              <w:rPr>
                <w:rFonts w:eastAsia="Times New Roman" w:cs="Arial"/>
                <w:sz w:val="20"/>
                <w:szCs w:val="20"/>
                <w:lang w:eastAsia="es-CO"/>
              </w:rPr>
              <w:br/>
              <w:t>• Lubricantes y reactivos químicos: aceite usado, refrigerantes, refrigerantes, grasas</w:t>
            </w:r>
            <w:r w:rsidRPr="00AB1C80">
              <w:rPr>
                <w:rFonts w:eastAsia="Times New Roman" w:cs="Arial"/>
                <w:sz w:val="20"/>
                <w:szCs w:val="20"/>
                <w:lang w:eastAsia="es-CO"/>
              </w:rPr>
              <w:br/>
              <w:t>• Repuestos, piezas y partes: artefactos, baterías, correas, polines, luminarias, filtros tubos fluorescentes, repuestos de vehículos, neumáticos, asbestos.</w:t>
            </w:r>
          </w:p>
        </w:tc>
      </w:tr>
      <w:tr w:rsidR="008B0446" w:rsidRPr="00AB1C80" w14:paraId="748B74D0" w14:textId="77777777" w:rsidTr="008B0446">
        <w:trPr>
          <w:trHeight w:val="20"/>
        </w:trPr>
        <w:tc>
          <w:tcPr>
            <w:tcW w:w="1135" w:type="dxa"/>
            <w:shd w:val="clear" w:color="auto" w:fill="auto"/>
            <w:vAlign w:val="center"/>
            <w:hideMark/>
          </w:tcPr>
          <w:p w14:paraId="37DE2A6F"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Chile</w:t>
            </w:r>
          </w:p>
        </w:tc>
        <w:tc>
          <w:tcPr>
            <w:tcW w:w="1701" w:type="dxa"/>
            <w:shd w:val="clear" w:color="auto" w:fill="auto"/>
            <w:vAlign w:val="center"/>
            <w:hideMark/>
          </w:tcPr>
          <w:p w14:paraId="610EB971"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de Evaluación de Riesgos para el Cierre Faenas Mineras</w:t>
            </w:r>
          </w:p>
        </w:tc>
        <w:tc>
          <w:tcPr>
            <w:tcW w:w="3827" w:type="dxa"/>
            <w:shd w:val="clear" w:color="auto" w:fill="auto"/>
            <w:vAlign w:val="center"/>
            <w:hideMark/>
          </w:tcPr>
          <w:p w14:paraId="0CED0B15"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Servicio Nacional de Geología y Minería</w:t>
            </w:r>
          </w:p>
        </w:tc>
        <w:tc>
          <w:tcPr>
            <w:tcW w:w="1276" w:type="dxa"/>
            <w:shd w:val="clear" w:color="auto" w:fill="auto"/>
            <w:vAlign w:val="center"/>
            <w:hideMark/>
          </w:tcPr>
          <w:p w14:paraId="7CCECEBC"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2014</w:t>
            </w:r>
          </w:p>
        </w:tc>
        <w:tc>
          <w:tcPr>
            <w:tcW w:w="6946" w:type="dxa"/>
            <w:shd w:val="clear" w:color="auto" w:fill="auto"/>
            <w:vAlign w:val="center"/>
            <w:hideMark/>
          </w:tcPr>
          <w:p w14:paraId="24DE05A6" w14:textId="7375730F"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La guía contempla los aspectos concernientes a los análisis de riesgos durante el desarrollo de las actividades mineras, considerando la etapa de planificación como lo más importante para desarrollar y realizar los respectivos diseños y estudios geotécnicos, sin descuidar los aspectos ambientales; además, contemplan la conceptualización del riesgo desde la fase inicial hasta el cierre, mediante una buena programación de la mina. Por otra parte, contempla el desarrollo de toda la infraestructura que se requiere en la mina, considerando los depósitos de estériles como otra instalación importante a la que se le realizan los estudios geotécnicos y de riesgo; y se parte de una buena planificación y su desarrollo empieza con la preparación del terreno y prosigue con etapas de llenado y configuración del terreno.</w:t>
            </w:r>
          </w:p>
        </w:tc>
      </w:tr>
      <w:tr w:rsidR="008B0446" w:rsidRPr="00AB1C80" w14:paraId="1893B76F" w14:textId="77777777" w:rsidTr="008B0446">
        <w:trPr>
          <w:trHeight w:val="20"/>
        </w:trPr>
        <w:tc>
          <w:tcPr>
            <w:tcW w:w="1135" w:type="dxa"/>
            <w:shd w:val="clear" w:color="auto" w:fill="auto"/>
            <w:vAlign w:val="center"/>
            <w:hideMark/>
          </w:tcPr>
          <w:p w14:paraId="08C2DA83"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Chile</w:t>
            </w:r>
          </w:p>
        </w:tc>
        <w:tc>
          <w:tcPr>
            <w:tcW w:w="1701" w:type="dxa"/>
            <w:shd w:val="clear" w:color="auto" w:fill="auto"/>
            <w:vAlign w:val="center"/>
            <w:hideMark/>
          </w:tcPr>
          <w:p w14:paraId="36457EE6"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Metodológica Estabilidad Química de Faenas e Instalaciones Mineras</w:t>
            </w:r>
          </w:p>
        </w:tc>
        <w:tc>
          <w:tcPr>
            <w:tcW w:w="3827" w:type="dxa"/>
            <w:shd w:val="clear" w:color="auto" w:fill="auto"/>
            <w:vAlign w:val="center"/>
            <w:hideMark/>
          </w:tcPr>
          <w:p w14:paraId="232216F2"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Servicio Nacional de Geología y Minería</w:t>
            </w:r>
          </w:p>
        </w:tc>
        <w:tc>
          <w:tcPr>
            <w:tcW w:w="1276" w:type="dxa"/>
            <w:shd w:val="clear" w:color="auto" w:fill="auto"/>
            <w:vAlign w:val="center"/>
            <w:hideMark/>
          </w:tcPr>
          <w:p w14:paraId="6DD71023"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6946" w:type="dxa"/>
            <w:shd w:val="clear" w:color="auto" w:fill="auto"/>
            <w:vAlign w:val="center"/>
            <w:hideMark/>
          </w:tcPr>
          <w:p w14:paraId="6E9300D4" w14:textId="44BC471F"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Este documento define qué se entiende por estabilidad química, qué es el drenaje minero, cuáles son las instalaciones consideradas como fuentes potencialmente generadoras de drenaje, y, por último, cuáles son los principales factores ambientales involucrados en el proceso generador de drenaje minero. Es un documento análogo al que se quiere producir, pero aplicado a la estabilización química en los diferentes espacios y etapas de la faena minera. Involucra graficas que pueden sintetizar y esquematizar los elementos involucrados en el drenaje minero.</w:t>
            </w:r>
          </w:p>
        </w:tc>
      </w:tr>
      <w:tr w:rsidR="008B0446" w:rsidRPr="00AB1C80" w14:paraId="7D8A9BD2" w14:textId="77777777" w:rsidTr="008B0446">
        <w:trPr>
          <w:trHeight w:val="20"/>
        </w:trPr>
        <w:tc>
          <w:tcPr>
            <w:tcW w:w="1135" w:type="dxa"/>
            <w:shd w:val="clear" w:color="auto" w:fill="auto"/>
            <w:vAlign w:val="center"/>
            <w:hideMark/>
          </w:tcPr>
          <w:p w14:paraId="34A381D5"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Chile</w:t>
            </w:r>
          </w:p>
        </w:tc>
        <w:tc>
          <w:tcPr>
            <w:tcW w:w="1701" w:type="dxa"/>
            <w:shd w:val="clear" w:color="auto" w:fill="auto"/>
            <w:vAlign w:val="center"/>
            <w:hideMark/>
          </w:tcPr>
          <w:p w14:paraId="7FB89A6C"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Metodológica para Evaluación de la Estabilidad Física de Instalaciones Mineras Remanentes</w:t>
            </w:r>
          </w:p>
        </w:tc>
        <w:tc>
          <w:tcPr>
            <w:tcW w:w="3827" w:type="dxa"/>
            <w:shd w:val="clear" w:color="auto" w:fill="auto"/>
            <w:vAlign w:val="center"/>
            <w:hideMark/>
          </w:tcPr>
          <w:p w14:paraId="68091D77"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Servicio Nacional de Geología y Minería</w:t>
            </w:r>
          </w:p>
        </w:tc>
        <w:tc>
          <w:tcPr>
            <w:tcW w:w="1276" w:type="dxa"/>
            <w:shd w:val="clear" w:color="auto" w:fill="auto"/>
            <w:vAlign w:val="center"/>
            <w:hideMark/>
          </w:tcPr>
          <w:p w14:paraId="40BC3E5D"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2018</w:t>
            </w:r>
          </w:p>
        </w:tc>
        <w:tc>
          <w:tcPr>
            <w:tcW w:w="6946" w:type="dxa"/>
            <w:shd w:val="clear" w:color="auto" w:fill="auto"/>
            <w:vAlign w:val="center"/>
            <w:hideMark/>
          </w:tcPr>
          <w:p w14:paraId="10B1515A"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La guía es amplia y es necesario centrarse en el manejo de estériles, cual fuere su condición: depósitos de relaves, depósitos masivos mineros, pilas de lixiviación o depósitos de escorias.  En este sentido, la guía hace referencia a la importancia de monitorear la disposición de los estériles desde:</w:t>
            </w:r>
            <w:r w:rsidRPr="00AB1C80">
              <w:rPr>
                <w:rFonts w:eastAsia="Times New Roman" w:cs="Arial"/>
                <w:sz w:val="20"/>
                <w:szCs w:val="20"/>
                <w:lang w:eastAsia="es-CO"/>
              </w:rPr>
              <w:br/>
              <w:t>• La fase de diseño, (geometría del depósito de estériles);</w:t>
            </w:r>
            <w:r w:rsidRPr="00AB1C80">
              <w:rPr>
                <w:rFonts w:eastAsia="Times New Roman" w:cs="Arial"/>
                <w:sz w:val="20"/>
                <w:szCs w:val="20"/>
                <w:lang w:eastAsia="es-CO"/>
              </w:rPr>
              <w:br/>
              <w:t>• Construcción (forma de disposición de los estériles);</w:t>
            </w:r>
            <w:r w:rsidRPr="00AB1C80">
              <w:rPr>
                <w:rFonts w:eastAsia="Times New Roman" w:cs="Arial"/>
                <w:sz w:val="20"/>
                <w:szCs w:val="20"/>
                <w:lang w:eastAsia="es-CO"/>
              </w:rPr>
              <w:br/>
              <w:t>• Monitoreo (desde fase de diseño, con instrumentos e información que permitan verificar las condiciones del área donde se dispondrán los estériles, tales como inclinómetros, extensómetros, topografía, geología, hidrogeología, geotecnia, caracterización del macizo rocoso y sus propiedades geomecánicas entre otros; instrumentos e información que se mantendrá y de ser necesario, será actualizada a lo largo de la vida útil del proyecto, incluyendo cierre y post cierre);</w:t>
            </w:r>
            <w:r w:rsidRPr="00AB1C80">
              <w:rPr>
                <w:rFonts w:eastAsia="Times New Roman" w:cs="Arial"/>
                <w:sz w:val="20"/>
                <w:szCs w:val="20"/>
                <w:lang w:eastAsia="es-CO"/>
              </w:rPr>
              <w:br/>
              <w:t>• Recopilación y análisis de datos (definir la periodicidad con la que se toman los datos, se analizan y se toman medidas frente a los resultados obtenidos como obras de manejo de aguas, variaciones en la geometría de los botaderos como ángulos de talud, altura de bancos, anchos de bermas)</w:t>
            </w:r>
            <w:r w:rsidRPr="00AB1C80">
              <w:rPr>
                <w:rFonts w:eastAsia="Times New Roman" w:cs="Arial"/>
                <w:sz w:val="20"/>
                <w:szCs w:val="20"/>
                <w:lang w:eastAsia="es-CO"/>
              </w:rPr>
              <w:br/>
              <w:t xml:space="preserve">La importancia de tener en cuenta que cuando un proyecto minero se cierra, existen cambios hidráulicos-hidrológicos por el cese de actividades, como, por ejemplo, secado de taludes que generan procesos erosivos.  Esto lleva a aumento de presión de poros, cambio de la resistencia al corte y un sinnúmero de variables permitiendo concluir que la adaptación de cada </w:t>
            </w:r>
            <w:r w:rsidRPr="00AB1C80">
              <w:rPr>
                <w:rFonts w:eastAsia="Times New Roman" w:cs="Arial"/>
                <w:sz w:val="20"/>
                <w:szCs w:val="20"/>
                <w:lang w:eastAsia="es-CO"/>
              </w:rPr>
              <w:lastRenderedPageBreak/>
              <w:t>método minero a un yacimiento hace que cada explotación sea única.  Por eso, la importancia de tener en cuenta las plantillas del documento como una guía y aplicar lo que corresponde según la naturaleza del yacimiento y configuración de la explotación (método) que incluye la disposición de estériles.</w:t>
            </w:r>
          </w:p>
        </w:tc>
      </w:tr>
      <w:tr w:rsidR="008B0446" w:rsidRPr="00AB1C80" w14:paraId="35FBE74A" w14:textId="77777777" w:rsidTr="008B0446">
        <w:trPr>
          <w:trHeight w:val="20"/>
        </w:trPr>
        <w:tc>
          <w:tcPr>
            <w:tcW w:w="1135" w:type="dxa"/>
            <w:shd w:val="clear" w:color="auto" w:fill="auto"/>
            <w:vAlign w:val="center"/>
            <w:hideMark/>
          </w:tcPr>
          <w:p w14:paraId="1C93FE64"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Chile</w:t>
            </w:r>
          </w:p>
        </w:tc>
        <w:tc>
          <w:tcPr>
            <w:tcW w:w="1701" w:type="dxa"/>
            <w:shd w:val="clear" w:color="auto" w:fill="auto"/>
            <w:vAlign w:val="center"/>
            <w:hideMark/>
          </w:tcPr>
          <w:p w14:paraId="749309CF"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Metodológica para la Presentación de Proyectos Mineros de Botaderos</w:t>
            </w:r>
          </w:p>
        </w:tc>
        <w:tc>
          <w:tcPr>
            <w:tcW w:w="3827" w:type="dxa"/>
            <w:shd w:val="clear" w:color="auto" w:fill="auto"/>
            <w:vAlign w:val="center"/>
            <w:hideMark/>
          </w:tcPr>
          <w:p w14:paraId="47EC2EFA"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Servicio Nacional de Geología y Minería</w:t>
            </w:r>
          </w:p>
        </w:tc>
        <w:tc>
          <w:tcPr>
            <w:tcW w:w="1276" w:type="dxa"/>
            <w:shd w:val="clear" w:color="auto" w:fill="auto"/>
            <w:vAlign w:val="center"/>
            <w:hideMark/>
          </w:tcPr>
          <w:p w14:paraId="4AD3127F"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2010</w:t>
            </w:r>
          </w:p>
        </w:tc>
        <w:tc>
          <w:tcPr>
            <w:tcW w:w="6946" w:type="dxa"/>
            <w:shd w:val="clear" w:color="auto" w:fill="auto"/>
            <w:vAlign w:val="center"/>
            <w:hideMark/>
          </w:tcPr>
          <w:p w14:paraId="1E797EA3" w14:textId="7A1D1DC5" w:rsidR="008B0446" w:rsidRPr="00AB1C80" w:rsidRDefault="008B0446" w:rsidP="00AB1C80">
            <w:pPr>
              <w:spacing w:line="276" w:lineRule="auto"/>
              <w:jc w:val="center"/>
              <w:rPr>
                <w:rFonts w:eastAsia="Times New Roman" w:cs="Arial"/>
                <w:sz w:val="20"/>
                <w:szCs w:val="20"/>
                <w:lang w:eastAsia="es-CO"/>
              </w:rPr>
            </w:pPr>
            <w:r w:rsidRPr="00AB1C80">
              <w:rPr>
                <w:rFonts w:eastAsia="Times New Roman" w:cs="Arial"/>
                <w:sz w:val="20"/>
                <w:szCs w:val="20"/>
                <w:lang w:eastAsia="es-CO"/>
              </w:rPr>
              <w:t>La guía tiene un índice que debe tenerse en cuenta a la hora de presentar el documento técnico:</w:t>
            </w:r>
            <w:r w:rsidRPr="00AB1C80">
              <w:rPr>
                <w:rFonts w:eastAsia="Times New Roman" w:cs="Arial"/>
                <w:sz w:val="20"/>
                <w:szCs w:val="20"/>
                <w:lang w:eastAsia="es-CO"/>
              </w:rPr>
              <w:br/>
              <w:t>1. Modelo geotécnico</w:t>
            </w:r>
            <w:r w:rsidRPr="00AB1C80">
              <w:rPr>
                <w:rFonts w:eastAsia="Times New Roman" w:cs="Arial"/>
                <w:sz w:val="20"/>
                <w:szCs w:val="20"/>
                <w:lang w:eastAsia="es-CO"/>
              </w:rPr>
              <w:br/>
              <w:t>2. Parámetros de diseño (ancho de vías, accesos, geometría del botadero)</w:t>
            </w:r>
            <w:r w:rsidRPr="00AB1C80">
              <w:rPr>
                <w:rFonts w:eastAsia="Times New Roman" w:cs="Arial"/>
                <w:sz w:val="20"/>
                <w:szCs w:val="20"/>
                <w:lang w:eastAsia="es-CO"/>
              </w:rPr>
              <w:br/>
              <w:t>ii. Proceso de planificación: base para desarrollar el proyecto</w:t>
            </w:r>
            <w:r w:rsidRPr="00AB1C80">
              <w:rPr>
                <w:rFonts w:eastAsia="Times New Roman" w:cs="Arial"/>
                <w:sz w:val="20"/>
                <w:szCs w:val="20"/>
                <w:lang w:eastAsia="es-CO"/>
              </w:rPr>
              <w:br/>
              <w:t>1. Parámetros de diseño</w:t>
            </w:r>
            <w:r w:rsidRPr="00AB1C80">
              <w:rPr>
                <w:rFonts w:eastAsia="Times New Roman" w:cs="Arial"/>
                <w:sz w:val="20"/>
                <w:szCs w:val="20"/>
                <w:lang w:eastAsia="es-CO"/>
              </w:rPr>
              <w:br/>
              <w:t>2. Diseño de fases</w:t>
            </w:r>
            <w:r w:rsidRPr="00AB1C80">
              <w:rPr>
                <w:rFonts w:eastAsia="Times New Roman" w:cs="Arial"/>
                <w:sz w:val="20"/>
                <w:szCs w:val="20"/>
                <w:lang w:eastAsia="es-CO"/>
              </w:rPr>
              <w:br/>
              <w:t>3. Plan minero</w:t>
            </w:r>
            <w:r w:rsidRPr="00AB1C80">
              <w:rPr>
                <w:rFonts w:eastAsia="Times New Roman" w:cs="Arial"/>
                <w:sz w:val="20"/>
                <w:szCs w:val="20"/>
                <w:lang w:eastAsia="es-CO"/>
              </w:rPr>
              <w:br/>
              <w:t>4. Cálculo de equipos</w:t>
            </w:r>
            <w:r w:rsidRPr="00AB1C80">
              <w:rPr>
                <w:rFonts w:eastAsia="Times New Roman" w:cs="Arial"/>
                <w:sz w:val="20"/>
                <w:szCs w:val="20"/>
                <w:lang w:eastAsia="es-CO"/>
              </w:rPr>
              <w:br/>
              <w:t>5. Forma de llenado</w:t>
            </w:r>
            <w:r w:rsidRPr="00AB1C80">
              <w:rPr>
                <w:rFonts w:eastAsia="Times New Roman" w:cs="Arial"/>
                <w:sz w:val="20"/>
                <w:szCs w:val="20"/>
                <w:lang w:eastAsia="es-CO"/>
              </w:rPr>
              <w:br/>
              <w:t>6. Criterios de aceptabilidad</w:t>
            </w:r>
            <w:r w:rsidRPr="00AB1C80">
              <w:rPr>
                <w:rFonts w:eastAsia="Times New Roman" w:cs="Arial"/>
                <w:sz w:val="20"/>
                <w:szCs w:val="20"/>
                <w:lang w:eastAsia="es-CO"/>
              </w:rPr>
              <w:br/>
              <w:t>7. Sismicidad y riesgo sísmico</w:t>
            </w:r>
            <w:r w:rsidRPr="00AB1C80">
              <w:rPr>
                <w:rFonts w:eastAsia="Times New Roman" w:cs="Arial"/>
                <w:sz w:val="20"/>
                <w:szCs w:val="20"/>
                <w:lang w:eastAsia="es-CO"/>
              </w:rPr>
              <w:br/>
              <w:t>8. Análisis de estabilidad</w:t>
            </w:r>
            <w:r w:rsidRPr="00AB1C80">
              <w:rPr>
                <w:rFonts w:eastAsia="Times New Roman" w:cs="Arial"/>
                <w:sz w:val="20"/>
                <w:szCs w:val="20"/>
                <w:lang w:eastAsia="es-CO"/>
              </w:rPr>
              <w:br/>
              <w:t>9. Análisis numérico</w:t>
            </w:r>
            <w:r w:rsidRPr="00AB1C80">
              <w:rPr>
                <w:rFonts w:eastAsia="Times New Roman" w:cs="Arial"/>
                <w:sz w:val="20"/>
                <w:szCs w:val="20"/>
                <w:lang w:eastAsia="es-CO"/>
              </w:rPr>
              <w:br/>
              <w:t>10. Análisis de riesgos (Hazop)</w:t>
            </w:r>
          </w:p>
        </w:tc>
      </w:tr>
      <w:tr w:rsidR="008B0446" w:rsidRPr="00AB1C80" w14:paraId="0DC82050" w14:textId="77777777" w:rsidTr="008B0446">
        <w:trPr>
          <w:trHeight w:val="20"/>
        </w:trPr>
        <w:tc>
          <w:tcPr>
            <w:tcW w:w="1135" w:type="dxa"/>
            <w:shd w:val="clear" w:color="auto" w:fill="auto"/>
            <w:vAlign w:val="center"/>
            <w:hideMark/>
          </w:tcPr>
          <w:p w14:paraId="372FA9F9"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Chile</w:t>
            </w:r>
          </w:p>
        </w:tc>
        <w:tc>
          <w:tcPr>
            <w:tcW w:w="1701" w:type="dxa"/>
            <w:shd w:val="clear" w:color="auto" w:fill="auto"/>
            <w:vAlign w:val="center"/>
            <w:hideMark/>
          </w:tcPr>
          <w:p w14:paraId="3A9886A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Manejo de Minerales y Residuos Mineros</w:t>
            </w:r>
          </w:p>
        </w:tc>
        <w:tc>
          <w:tcPr>
            <w:tcW w:w="3827" w:type="dxa"/>
            <w:shd w:val="clear" w:color="auto" w:fill="auto"/>
            <w:vAlign w:val="center"/>
            <w:hideMark/>
          </w:tcPr>
          <w:p w14:paraId="08739728"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Sernageomin, Sonami, Enami y el Ministerio de Minería de Chile</w:t>
            </w:r>
          </w:p>
        </w:tc>
        <w:tc>
          <w:tcPr>
            <w:tcW w:w="1276" w:type="dxa"/>
            <w:shd w:val="clear" w:color="auto" w:fill="auto"/>
            <w:vAlign w:val="center"/>
            <w:hideMark/>
          </w:tcPr>
          <w:p w14:paraId="557A9A1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2014</w:t>
            </w:r>
          </w:p>
        </w:tc>
        <w:tc>
          <w:tcPr>
            <w:tcW w:w="6946" w:type="dxa"/>
            <w:shd w:val="clear" w:color="auto" w:fill="auto"/>
            <w:vAlign w:val="center"/>
            <w:hideMark/>
          </w:tcPr>
          <w:p w14:paraId="5B7760C4"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La guía hace énfasis en las medidas de seguridad y salud laboral que deben tener en cuenta quienes tienen contacto o manejan los estériles de un proyecto minero.  En este caso, los operadores de maquinaria y equipos como operadores de cargador, operadores de volqueta y todo el recurso humano que está en el alcance de la guía que es el cargue, el transporte y el acopio final de los estériles (estériles masivos, ripios de lixiviación, relaves).</w:t>
            </w:r>
          </w:p>
        </w:tc>
      </w:tr>
      <w:tr w:rsidR="008B0446" w:rsidRPr="00AB1C80" w14:paraId="748525D9" w14:textId="77777777" w:rsidTr="008B0446">
        <w:trPr>
          <w:trHeight w:val="20"/>
        </w:trPr>
        <w:tc>
          <w:tcPr>
            <w:tcW w:w="1135" w:type="dxa"/>
            <w:shd w:val="clear" w:color="auto" w:fill="auto"/>
            <w:vAlign w:val="center"/>
            <w:hideMark/>
          </w:tcPr>
          <w:p w14:paraId="115074E8"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Chile</w:t>
            </w:r>
          </w:p>
        </w:tc>
        <w:tc>
          <w:tcPr>
            <w:tcW w:w="1701" w:type="dxa"/>
            <w:shd w:val="clear" w:color="auto" w:fill="auto"/>
            <w:vAlign w:val="center"/>
            <w:hideMark/>
          </w:tcPr>
          <w:p w14:paraId="56A1B47B"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Permiso para Botaderos de Estériles o </w:t>
            </w:r>
            <w:r w:rsidRPr="00AB1C80">
              <w:rPr>
                <w:rFonts w:eastAsia="Times New Roman" w:cs="Arial"/>
                <w:color w:val="000000"/>
                <w:sz w:val="20"/>
                <w:szCs w:val="20"/>
                <w:lang w:eastAsia="es-CO"/>
              </w:rPr>
              <w:lastRenderedPageBreak/>
              <w:t>Acumulación de Mineral.</w:t>
            </w:r>
          </w:p>
        </w:tc>
        <w:tc>
          <w:tcPr>
            <w:tcW w:w="3827" w:type="dxa"/>
            <w:shd w:val="clear" w:color="auto" w:fill="auto"/>
            <w:vAlign w:val="center"/>
            <w:hideMark/>
          </w:tcPr>
          <w:p w14:paraId="1495C879"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Servicio de Evaluación Ambiental</w:t>
            </w:r>
          </w:p>
        </w:tc>
        <w:tc>
          <w:tcPr>
            <w:tcW w:w="1276" w:type="dxa"/>
            <w:shd w:val="clear" w:color="auto" w:fill="auto"/>
            <w:vAlign w:val="center"/>
            <w:hideMark/>
          </w:tcPr>
          <w:p w14:paraId="5138921D"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6946" w:type="dxa"/>
            <w:shd w:val="clear" w:color="auto" w:fill="auto"/>
            <w:vAlign w:val="center"/>
            <w:hideMark/>
          </w:tcPr>
          <w:p w14:paraId="024A394E" w14:textId="77777777" w:rsidR="008B0446" w:rsidRPr="00AB1C80" w:rsidRDefault="008B0446" w:rsidP="00AB1C80">
            <w:pPr>
              <w:spacing w:line="276" w:lineRule="auto"/>
              <w:jc w:val="center"/>
              <w:rPr>
                <w:rFonts w:eastAsia="Times New Roman" w:cs="Arial"/>
                <w:sz w:val="20"/>
                <w:szCs w:val="20"/>
                <w:lang w:eastAsia="es-CO"/>
              </w:rPr>
            </w:pPr>
            <w:r w:rsidRPr="00AB1C80">
              <w:rPr>
                <w:rFonts w:eastAsia="Times New Roman" w:cs="Arial"/>
                <w:sz w:val="20"/>
                <w:szCs w:val="20"/>
                <w:lang w:eastAsia="es-CO"/>
              </w:rPr>
              <w:t>Los estériles para PAS están clasificados de la siguiente manera:</w:t>
            </w:r>
            <w:r w:rsidRPr="00AB1C80">
              <w:rPr>
                <w:rFonts w:eastAsia="Times New Roman" w:cs="Arial"/>
                <w:sz w:val="20"/>
                <w:szCs w:val="20"/>
                <w:lang w:eastAsia="es-CO"/>
              </w:rPr>
              <w:br/>
              <w:t xml:space="preserve">• Acumulación de minerales:  disposición definitiva o transitoria de material con valor económico </w:t>
            </w:r>
            <w:r w:rsidRPr="00AB1C80">
              <w:rPr>
                <w:rFonts w:eastAsia="Times New Roman" w:cs="Arial"/>
                <w:sz w:val="20"/>
                <w:szCs w:val="20"/>
                <w:lang w:eastAsia="es-CO"/>
              </w:rPr>
              <w:br/>
              <w:t xml:space="preserve">• Botadero: lugar destinado a la depositación de desmontes o desechos </w:t>
            </w:r>
            <w:r w:rsidRPr="00AB1C80">
              <w:rPr>
                <w:rFonts w:eastAsia="Times New Roman" w:cs="Arial"/>
                <w:sz w:val="20"/>
                <w:szCs w:val="20"/>
                <w:lang w:eastAsia="es-CO"/>
              </w:rPr>
              <w:lastRenderedPageBreak/>
              <w:t>sólidos</w:t>
            </w:r>
            <w:r w:rsidRPr="00AB1C80">
              <w:rPr>
                <w:rFonts w:eastAsia="Times New Roman" w:cs="Arial"/>
                <w:sz w:val="20"/>
                <w:szCs w:val="20"/>
                <w:lang w:eastAsia="es-CO"/>
              </w:rPr>
              <w:br/>
              <w:t>• Botadero de estériles: disposición ordenada de residuos mineros masivos (no incluye relaves) que provengan de la operación de extracción, beneficio o procesamiento de minerales tales como estériles, minerales de baja ley, residuos de lixiviación, escorias.</w:t>
            </w:r>
            <w:r w:rsidRPr="00AB1C80">
              <w:rPr>
                <w:rFonts w:eastAsia="Times New Roman" w:cs="Arial"/>
                <w:sz w:val="20"/>
                <w:szCs w:val="20"/>
                <w:lang w:eastAsia="es-CO"/>
              </w:rPr>
              <w:br/>
            </w:r>
            <w:r w:rsidRPr="00AB1C80">
              <w:rPr>
                <w:rFonts w:eastAsia="Times New Roman" w:cs="Arial"/>
                <w:sz w:val="20"/>
                <w:szCs w:val="20"/>
                <w:lang w:eastAsia="es-CO"/>
              </w:rPr>
              <w:br/>
              <w:t>Lo anterior es importante tenerlo en cuenta para adaptar conceptos a Colombia y al trabajo.</w:t>
            </w:r>
          </w:p>
        </w:tc>
      </w:tr>
      <w:tr w:rsidR="008B0446" w:rsidRPr="00AB1C80" w14:paraId="53336E45" w14:textId="77777777" w:rsidTr="008B0446">
        <w:trPr>
          <w:trHeight w:val="20"/>
        </w:trPr>
        <w:tc>
          <w:tcPr>
            <w:tcW w:w="1135" w:type="dxa"/>
            <w:shd w:val="clear" w:color="auto" w:fill="auto"/>
            <w:vAlign w:val="center"/>
            <w:hideMark/>
          </w:tcPr>
          <w:p w14:paraId="1CB2A83E"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Comisión Europea</w:t>
            </w:r>
          </w:p>
        </w:tc>
        <w:tc>
          <w:tcPr>
            <w:tcW w:w="1701" w:type="dxa"/>
            <w:shd w:val="clear" w:color="auto" w:fill="auto"/>
            <w:vAlign w:val="center"/>
            <w:hideMark/>
          </w:tcPr>
          <w:p w14:paraId="0CED131D"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Establecimiento de Pautas para la Inspección de Instalaciones de Residuos Mineros, Inventario y Rehabilitación de Instalaciones Abandonadas y Revisión del Documento BREF</w:t>
            </w:r>
          </w:p>
        </w:tc>
        <w:tc>
          <w:tcPr>
            <w:tcW w:w="3827" w:type="dxa"/>
            <w:shd w:val="clear" w:color="auto" w:fill="auto"/>
            <w:vAlign w:val="center"/>
            <w:hideMark/>
          </w:tcPr>
          <w:p w14:paraId="7E030909"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Comisión Europea DG Medio Ambiente </w:t>
            </w:r>
          </w:p>
        </w:tc>
        <w:tc>
          <w:tcPr>
            <w:tcW w:w="1276" w:type="dxa"/>
            <w:shd w:val="clear" w:color="auto" w:fill="auto"/>
            <w:vAlign w:val="center"/>
            <w:hideMark/>
          </w:tcPr>
          <w:p w14:paraId="557EA5BD"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2012</w:t>
            </w:r>
          </w:p>
        </w:tc>
        <w:tc>
          <w:tcPr>
            <w:tcW w:w="6946" w:type="dxa"/>
            <w:shd w:val="clear" w:color="auto" w:fill="auto"/>
            <w:vAlign w:val="center"/>
            <w:hideMark/>
          </w:tcPr>
          <w:p w14:paraId="76A92D15" w14:textId="77777777" w:rsidR="008B0446" w:rsidRPr="00AB1C80" w:rsidRDefault="008B0446" w:rsidP="00AB1C80">
            <w:pPr>
              <w:spacing w:line="276" w:lineRule="auto"/>
              <w:jc w:val="center"/>
              <w:rPr>
                <w:rFonts w:eastAsia="Times New Roman" w:cs="Arial"/>
                <w:sz w:val="20"/>
                <w:szCs w:val="20"/>
                <w:lang w:eastAsia="es-CO"/>
              </w:rPr>
            </w:pPr>
            <w:r w:rsidRPr="00AB1C80">
              <w:rPr>
                <w:rFonts w:eastAsia="Times New Roman" w:cs="Arial"/>
                <w:sz w:val="20"/>
                <w:szCs w:val="20"/>
                <w:lang w:eastAsia="es-CO"/>
              </w:rPr>
              <w:t>Las directrices mencionadas corresponden a una metodología para rehabilitar botaderos activos, cerrados y abandonados. Las directrices para inspección son las siguientes:</w:t>
            </w:r>
            <w:r w:rsidRPr="00AB1C80">
              <w:rPr>
                <w:rFonts w:eastAsia="Times New Roman" w:cs="Arial"/>
                <w:sz w:val="20"/>
                <w:szCs w:val="20"/>
                <w:lang w:eastAsia="es-CO"/>
              </w:rPr>
              <w:br/>
              <w:t>• Marco legal (permiso otorgado al operador por parte de la autoridad competente – gobierno)</w:t>
            </w:r>
            <w:r w:rsidRPr="00AB1C80">
              <w:rPr>
                <w:rFonts w:eastAsia="Times New Roman" w:cs="Arial"/>
                <w:sz w:val="20"/>
                <w:szCs w:val="20"/>
                <w:lang w:eastAsia="es-CO"/>
              </w:rPr>
              <w:br/>
              <w:t>• Inspecciones en términos de frecuencia que verifiquen el régimen de monitoreo de acuerdo con las obligaciones adquiridas en el permiso</w:t>
            </w:r>
            <w:r w:rsidRPr="00AB1C80">
              <w:rPr>
                <w:rFonts w:eastAsia="Times New Roman" w:cs="Arial"/>
                <w:sz w:val="20"/>
                <w:szCs w:val="20"/>
                <w:lang w:eastAsia="es-CO"/>
              </w:rPr>
              <w:br/>
              <w:t>• Protocolos definidos</w:t>
            </w:r>
            <w:r w:rsidRPr="00AB1C80">
              <w:rPr>
                <w:rFonts w:eastAsia="Times New Roman" w:cs="Arial"/>
                <w:sz w:val="20"/>
                <w:szCs w:val="20"/>
                <w:lang w:eastAsia="es-CO"/>
              </w:rPr>
              <w:br/>
              <w:t>• Resultados de inspecciones</w:t>
            </w:r>
            <w:r w:rsidRPr="00AB1C80">
              <w:rPr>
                <w:rFonts w:eastAsia="Times New Roman" w:cs="Arial"/>
                <w:sz w:val="20"/>
                <w:szCs w:val="20"/>
                <w:lang w:eastAsia="es-CO"/>
              </w:rPr>
              <w:br/>
              <w:t xml:space="preserve">• Informes </w:t>
            </w:r>
            <w:r w:rsidRPr="00AB1C80">
              <w:rPr>
                <w:rFonts w:eastAsia="Times New Roman" w:cs="Arial"/>
                <w:sz w:val="20"/>
                <w:szCs w:val="20"/>
                <w:lang w:eastAsia="es-CO"/>
              </w:rPr>
              <w:br/>
              <w:t>• Alcance (en términos de visita al sitio)</w:t>
            </w:r>
            <w:r w:rsidRPr="00AB1C80">
              <w:rPr>
                <w:rFonts w:eastAsia="Times New Roman" w:cs="Arial"/>
                <w:sz w:val="20"/>
                <w:szCs w:val="20"/>
                <w:lang w:eastAsia="es-CO"/>
              </w:rPr>
              <w:br/>
              <w:t>• Muestreo</w:t>
            </w:r>
            <w:r w:rsidRPr="00AB1C80">
              <w:rPr>
                <w:rFonts w:eastAsia="Times New Roman" w:cs="Arial"/>
                <w:sz w:val="20"/>
                <w:szCs w:val="20"/>
                <w:lang w:eastAsia="es-CO"/>
              </w:rPr>
              <w:br/>
              <w:t>• Revisión datos operativos</w:t>
            </w:r>
            <w:r w:rsidRPr="00AB1C80">
              <w:rPr>
                <w:rFonts w:eastAsia="Times New Roman" w:cs="Arial"/>
                <w:sz w:val="20"/>
                <w:szCs w:val="20"/>
                <w:lang w:eastAsia="es-CO"/>
              </w:rPr>
              <w:br/>
              <w:t>• Reporte y recomendaciones</w:t>
            </w:r>
            <w:r w:rsidRPr="00AB1C80">
              <w:rPr>
                <w:rFonts w:eastAsia="Times New Roman" w:cs="Arial"/>
                <w:sz w:val="20"/>
                <w:szCs w:val="20"/>
                <w:lang w:eastAsia="es-CO"/>
              </w:rPr>
              <w:br/>
              <w:t>• Cronograma plan de acción en caso de ser necesario</w:t>
            </w:r>
            <w:r w:rsidRPr="00AB1C80">
              <w:rPr>
                <w:rFonts w:eastAsia="Times New Roman" w:cs="Arial"/>
                <w:sz w:val="20"/>
                <w:szCs w:val="20"/>
                <w:lang w:eastAsia="es-CO"/>
              </w:rPr>
              <w:br/>
              <w:t xml:space="preserve">La verificación o la inspección debe ser elaborada por al menos, dos partes del gobierno.  Para Colombia, sería aplicable por parte de la autoridad minera, la autoridad ambiental como mínimo. </w:t>
            </w:r>
            <w:r w:rsidRPr="00AB1C80">
              <w:rPr>
                <w:rFonts w:eastAsia="Times New Roman" w:cs="Arial"/>
                <w:sz w:val="20"/>
                <w:szCs w:val="20"/>
                <w:lang w:eastAsia="es-CO"/>
              </w:rPr>
              <w:br/>
              <w:t>La guía propone inspecciones que se puede ejecutar para escombreras que están en construcción, que se encuentran terminando su construcción, en donde se puede reforzar o actualizar los regímenes de inspección existente.</w:t>
            </w:r>
          </w:p>
        </w:tc>
      </w:tr>
      <w:tr w:rsidR="008B0446" w:rsidRPr="00AB1C80" w14:paraId="4FB036EB" w14:textId="77777777" w:rsidTr="008B0446">
        <w:trPr>
          <w:trHeight w:val="20"/>
        </w:trPr>
        <w:tc>
          <w:tcPr>
            <w:tcW w:w="1135" w:type="dxa"/>
            <w:shd w:val="clear" w:color="auto" w:fill="auto"/>
            <w:vAlign w:val="center"/>
            <w:hideMark/>
          </w:tcPr>
          <w:p w14:paraId="450DB904"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España</w:t>
            </w:r>
          </w:p>
        </w:tc>
        <w:tc>
          <w:tcPr>
            <w:tcW w:w="1701" w:type="dxa"/>
            <w:shd w:val="clear" w:color="auto" w:fill="auto"/>
            <w:vAlign w:val="center"/>
            <w:hideMark/>
          </w:tcPr>
          <w:p w14:paraId="3A7FB4E1"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Actividad 2. Revisión de Técnicas y Medidas Correctoras Realizadas para la Recuperación Ambiental de las Instalaciones de Residuos Mineros</w:t>
            </w:r>
          </w:p>
        </w:tc>
        <w:tc>
          <w:tcPr>
            <w:tcW w:w="3827" w:type="dxa"/>
            <w:shd w:val="clear" w:color="auto" w:fill="auto"/>
            <w:vAlign w:val="center"/>
            <w:hideMark/>
          </w:tcPr>
          <w:p w14:paraId="504B0131"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IGME - Instituto Geológico y Minero de España</w:t>
            </w:r>
          </w:p>
        </w:tc>
        <w:tc>
          <w:tcPr>
            <w:tcW w:w="1276" w:type="dxa"/>
            <w:shd w:val="clear" w:color="auto" w:fill="auto"/>
            <w:vAlign w:val="center"/>
            <w:hideMark/>
          </w:tcPr>
          <w:p w14:paraId="68798C64"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6946" w:type="dxa"/>
            <w:shd w:val="clear" w:color="auto" w:fill="auto"/>
            <w:vAlign w:val="center"/>
            <w:hideMark/>
          </w:tcPr>
          <w:p w14:paraId="1A0BBF22"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Se trata de una revisión minuciosa de trabajos referentes a depósitos de estériles en minería de carbón y de metales en España, orientados al establecimiento de una cobertura final de suelos y vegetación estable y autosostenible, generando terrenos capaces de soportar producción agrícola.</w:t>
            </w:r>
            <w:r w:rsidRPr="00AB1C80">
              <w:rPr>
                <w:rFonts w:eastAsia="Times New Roman" w:cs="Arial"/>
                <w:sz w:val="20"/>
                <w:szCs w:val="20"/>
                <w:lang w:eastAsia="es-CO"/>
              </w:rPr>
              <w:br/>
            </w:r>
            <w:r w:rsidRPr="00AB1C80">
              <w:rPr>
                <w:rFonts w:eastAsia="Times New Roman" w:cs="Arial"/>
                <w:sz w:val="20"/>
                <w:szCs w:val="20"/>
                <w:lang w:eastAsia="es-CO"/>
              </w:rPr>
              <w:br/>
              <w:t>En cuanto a la minería de carbón, todas las grandes explotaciones a las que se hizo referencia se desarrollaron de modo que la gestión de los estériles se encaminara finalmente a establecer sobre las superficies finales de las escombreras unos nuevos suelos que pudieran proporcionar un medio de crecimiento de la vegetación adecuado, al tiempo que preservaban la calidad de las aguas superficiales. Se resalta la importancia de la preselección de los materiales antes de su vertido. Así pues, la gestión de los estériles y el diseño de los nuevos suelos, partiendo de las características geoquímicas y edafológicas de los mismos ha sido posiblemente el aspecto más importante a la hora de determinar el éxito o fracaso final de la rehabilitación. En todos los casos comentados, todas las operaciones de restauración se realizaron durante la actividad minera, implicando importantes esfuerzos de estudio, análisis, ensayos y, sobre todo, planificación de los movimientos de materiales.</w:t>
            </w:r>
          </w:p>
        </w:tc>
      </w:tr>
      <w:tr w:rsidR="008B0446" w:rsidRPr="00AB1C80" w14:paraId="38BAE563" w14:textId="77777777" w:rsidTr="008B0446">
        <w:trPr>
          <w:trHeight w:val="20"/>
        </w:trPr>
        <w:tc>
          <w:tcPr>
            <w:tcW w:w="1135" w:type="dxa"/>
            <w:shd w:val="clear" w:color="auto" w:fill="auto"/>
            <w:vAlign w:val="center"/>
            <w:hideMark/>
          </w:tcPr>
          <w:p w14:paraId="139C8186"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España</w:t>
            </w:r>
          </w:p>
        </w:tc>
        <w:tc>
          <w:tcPr>
            <w:tcW w:w="1701" w:type="dxa"/>
            <w:shd w:val="clear" w:color="auto" w:fill="auto"/>
            <w:vAlign w:val="center"/>
            <w:hideMark/>
          </w:tcPr>
          <w:p w14:paraId="76219BA3"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para el Diseño y Construcción de Escombreras</w:t>
            </w:r>
          </w:p>
        </w:tc>
        <w:tc>
          <w:tcPr>
            <w:tcW w:w="3827" w:type="dxa"/>
            <w:shd w:val="clear" w:color="auto" w:fill="auto"/>
            <w:vAlign w:val="center"/>
            <w:hideMark/>
          </w:tcPr>
          <w:p w14:paraId="025CB1A2"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Junta de Andalucía - Dirección General de Industria, Energía y Minas</w:t>
            </w:r>
          </w:p>
        </w:tc>
        <w:tc>
          <w:tcPr>
            <w:tcW w:w="1276" w:type="dxa"/>
            <w:shd w:val="clear" w:color="auto" w:fill="auto"/>
            <w:vAlign w:val="center"/>
            <w:hideMark/>
          </w:tcPr>
          <w:p w14:paraId="3917393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6946" w:type="dxa"/>
            <w:shd w:val="clear" w:color="auto" w:fill="auto"/>
            <w:vAlign w:val="center"/>
            <w:hideMark/>
          </w:tcPr>
          <w:p w14:paraId="4AFBCB81" w14:textId="6D55CDAC"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La guía de origen español es un documento del año 2000 y actualizado en 2015, que muestra de manera secuencial los aspectos técnicos, tangencialmente los medioambientales y económicos, que se deben tener en cuenta para el diseño y construcción de una escombrera estable geotécnicamente. </w:t>
            </w:r>
            <w:r w:rsidRPr="00AB1C80">
              <w:rPr>
                <w:rFonts w:eastAsia="Times New Roman" w:cs="Arial"/>
                <w:sz w:val="20"/>
                <w:szCs w:val="20"/>
                <w:lang w:eastAsia="es-CO"/>
              </w:rPr>
              <w:br/>
            </w:r>
            <w:r w:rsidRPr="00AB1C80">
              <w:rPr>
                <w:rFonts w:eastAsia="Times New Roman" w:cs="Arial"/>
                <w:sz w:val="20"/>
                <w:szCs w:val="20"/>
                <w:lang w:eastAsia="es-CO"/>
              </w:rPr>
              <w:br/>
              <w:t xml:space="preserve">La guía no especifica o diferencia sus recomendaciones en ningún aparte entre estériles de minas de minerales metálicos y no metálicos, se interpreta que todos los materiales que se dispondrán en las escombreras no tienen ningún valor económico. Trata con un capítulo aparte las escombreras de estériles provenientes del carbón y lo enfoca hacia los incendios de las </w:t>
            </w:r>
            <w:r w:rsidRPr="00AB1C80">
              <w:rPr>
                <w:rFonts w:eastAsia="Times New Roman" w:cs="Arial"/>
                <w:sz w:val="20"/>
                <w:szCs w:val="20"/>
                <w:lang w:eastAsia="es-CO"/>
              </w:rPr>
              <w:lastRenderedPageBreak/>
              <w:t>escombreras y al manejo de las aguas ácidas que se puedan generar y como con su proceso constructivo se podrá minimizar o mitigar el impacto ambiental.</w:t>
            </w:r>
            <w:r w:rsidRPr="00AB1C80">
              <w:rPr>
                <w:rFonts w:eastAsia="Times New Roman" w:cs="Arial"/>
                <w:sz w:val="20"/>
                <w:szCs w:val="20"/>
                <w:lang w:eastAsia="es-CO"/>
              </w:rPr>
              <w:br/>
            </w:r>
            <w:r w:rsidRPr="00AB1C80">
              <w:rPr>
                <w:rFonts w:eastAsia="Times New Roman" w:cs="Arial"/>
                <w:sz w:val="20"/>
                <w:szCs w:val="20"/>
                <w:lang w:eastAsia="es-CO"/>
              </w:rPr>
              <w:br/>
              <w:t xml:space="preserve">Enseña que la Importancia de la estabilidad de las escombreras viene desde un comienzo con los estudios técnicos. </w:t>
            </w:r>
            <w:r w:rsidRPr="00AB1C80">
              <w:rPr>
                <w:rFonts w:eastAsia="Times New Roman" w:cs="Arial"/>
                <w:sz w:val="20"/>
                <w:szCs w:val="20"/>
                <w:lang w:eastAsia="es-CO"/>
              </w:rPr>
              <w:br/>
            </w:r>
            <w:r w:rsidRPr="00AB1C80">
              <w:rPr>
                <w:rFonts w:eastAsia="Times New Roman" w:cs="Arial"/>
                <w:sz w:val="20"/>
                <w:szCs w:val="20"/>
                <w:lang w:eastAsia="es-CO"/>
              </w:rPr>
              <w:br/>
              <w:t xml:space="preserve">En Colombia aplican, especialmente en las escombreras pequeñas el vertido libre por gravedad que puede generar potencialmente inestabilidades. Interesante como en la fase operativa de la escombrera y dependiendo de la calidad de los materiales estériles se pueda hacer mezclas y diseños que ayuden a controlar las aguas ácidas de las minas y evitar o minimizar los posibles impactos por incendios en escombreras con estériles carbonosos en minas de carbón. </w:t>
            </w:r>
          </w:p>
        </w:tc>
      </w:tr>
      <w:tr w:rsidR="008B0446" w:rsidRPr="00AB1C80" w14:paraId="63623DA5" w14:textId="77777777" w:rsidTr="008B0446">
        <w:trPr>
          <w:trHeight w:val="20"/>
        </w:trPr>
        <w:tc>
          <w:tcPr>
            <w:tcW w:w="1135" w:type="dxa"/>
            <w:shd w:val="clear" w:color="auto" w:fill="auto"/>
            <w:vAlign w:val="center"/>
            <w:hideMark/>
          </w:tcPr>
          <w:p w14:paraId="6EDB2956"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España</w:t>
            </w:r>
          </w:p>
        </w:tc>
        <w:tc>
          <w:tcPr>
            <w:tcW w:w="1701" w:type="dxa"/>
            <w:shd w:val="clear" w:color="auto" w:fill="auto"/>
            <w:vAlign w:val="center"/>
            <w:hideMark/>
          </w:tcPr>
          <w:p w14:paraId="68CDB9C2"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Guía para la Rehabilitación Instalaciones Abandonadas de Residuos Mineros</w:t>
            </w:r>
          </w:p>
        </w:tc>
        <w:tc>
          <w:tcPr>
            <w:tcW w:w="3827" w:type="dxa"/>
            <w:shd w:val="clear" w:color="auto" w:fill="auto"/>
            <w:vAlign w:val="center"/>
            <w:hideMark/>
          </w:tcPr>
          <w:p w14:paraId="375C2882"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España - Ministerio para la Transición Ecológica</w:t>
            </w:r>
          </w:p>
        </w:tc>
        <w:tc>
          <w:tcPr>
            <w:tcW w:w="1276" w:type="dxa"/>
            <w:shd w:val="clear" w:color="auto" w:fill="auto"/>
            <w:vAlign w:val="center"/>
            <w:hideMark/>
          </w:tcPr>
          <w:p w14:paraId="658AE5AE"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6946" w:type="dxa"/>
            <w:shd w:val="clear" w:color="auto" w:fill="auto"/>
            <w:vAlign w:val="center"/>
            <w:hideMark/>
          </w:tcPr>
          <w:p w14:paraId="1C9A37FA" w14:textId="5D88F269"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Esta guía minera es un documento muy completo soportado en el análisis y evaluación de diferentes estudios de caso de proyectos mineros desarrollados en el territorio español, en los que se han realizado diferentes procesos concernientes a la rehabilitación de instalaciones destinadas a la disposición de residuos mineros. En la guía se abordan diferentes aspectos a considerar como la importancia en la caracterización de los residuos, estudios de carácter geotécnico, geoquímica, edafología, buenas prácticas, estrategias de uso de material en la rehabilitación de las áreas, mediades de control, corrección, seguimiento, y evaluación. A continuación, se presentan algunos aspectos relevantes analizados y extraídos de la guía.</w:t>
            </w:r>
            <w:r w:rsidRPr="00AB1C80">
              <w:rPr>
                <w:rFonts w:eastAsia="Times New Roman" w:cs="Arial"/>
                <w:sz w:val="20"/>
                <w:szCs w:val="20"/>
                <w:lang w:eastAsia="es-CO"/>
              </w:rPr>
              <w:br/>
            </w:r>
            <w:r w:rsidRPr="00AB1C80">
              <w:rPr>
                <w:rFonts w:eastAsia="Times New Roman" w:cs="Arial"/>
                <w:sz w:val="20"/>
                <w:szCs w:val="20"/>
                <w:lang w:eastAsia="es-CO"/>
              </w:rPr>
              <w:br/>
              <w:t xml:space="preserve">El material estéril que queda en la superficie en la fase de cierre y abandono es determinante para el desarrollo natural del ecosistema del área. Ya que pueden tener cierto grado de toxicidad o ser un medio hostil para la sucesión futura del suelo. En caso de presentar toxicidad se deben realizar procesos de eliminación o tratamiento del contaminante que desencadenan en </w:t>
            </w:r>
            <w:r w:rsidRPr="00AB1C80">
              <w:rPr>
                <w:rFonts w:eastAsia="Times New Roman" w:cs="Arial"/>
                <w:sz w:val="20"/>
                <w:szCs w:val="20"/>
                <w:lang w:eastAsia="es-CO"/>
              </w:rPr>
              <w:lastRenderedPageBreak/>
              <w:t>importantes inversiones económicas.</w:t>
            </w:r>
            <w:r w:rsidRPr="00AB1C80">
              <w:rPr>
                <w:rFonts w:eastAsia="Times New Roman" w:cs="Arial"/>
                <w:sz w:val="20"/>
                <w:szCs w:val="20"/>
                <w:lang w:eastAsia="es-CO"/>
              </w:rPr>
              <w:br/>
              <w:t>En la rehabilitación de terrenos alterados por depósitos de residuos mineros se deben incorporar técnicas de ingeniería para el control de escorrentía, estabilización del terreno, tratamiento de aguas, conservación de suelos, etc. Estos se pueden restaurar a su vez de manera natural en procesos con larga duración dependiendo de condiciones de composición mineralógicas y del clima. Los residuos finos procedentes de procesos mineralógicos normalmente poseen unas características geoquímicas altamente desfavorables para permitir el establecimiento de vegetación (acidez, salinidad, toxicidad, etc.). con el agravante de que la fina granulometría favorece procesos de alteración ambientalmente peligrosos. En Hossner &amp; Hons (1992) y Lottermoser (2007).</w:t>
            </w:r>
          </w:p>
        </w:tc>
      </w:tr>
      <w:tr w:rsidR="008B0446" w:rsidRPr="00AB1C80" w14:paraId="676638A6" w14:textId="77777777" w:rsidTr="008B0446">
        <w:trPr>
          <w:trHeight w:val="20"/>
        </w:trPr>
        <w:tc>
          <w:tcPr>
            <w:tcW w:w="1135" w:type="dxa"/>
            <w:shd w:val="clear" w:color="auto" w:fill="auto"/>
            <w:vAlign w:val="center"/>
            <w:hideMark/>
          </w:tcPr>
          <w:p w14:paraId="22856003"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España</w:t>
            </w:r>
          </w:p>
        </w:tc>
        <w:tc>
          <w:tcPr>
            <w:tcW w:w="1701" w:type="dxa"/>
            <w:shd w:val="clear" w:color="auto" w:fill="auto"/>
            <w:vAlign w:val="center"/>
            <w:hideMark/>
          </w:tcPr>
          <w:p w14:paraId="71C127FB"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Manual de Restauración de Terrenos y Evaluación de Impactos Ambientales en Minería</w:t>
            </w:r>
          </w:p>
        </w:tc>
        <w:tc>
          <w:tcPr>
            <w:tcW w:w="3827" w:type="dxa"/>
            <w:shd w:val="clear" w:color="auto" w:fill="auto"/>
            <w:vAlign w:val="center"/>
            <w:hideMark/>
          </w:tcPr>
          <w:p w14:paraId="1A27C0AC"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Instituto Tecnológico Geominero de España</w:t>
            </w:r>
          </w:p>
        </w:tc>
        <w:tc>
          <w:tcPr>
            <w:tcW w:w="1276" w:type="dxa"/>
            <w:shd w:val="clear" w:color="auto" w:fill="auto"/>
            <w:vAlign w:val="center"/>
            <w:hideMark/>
          </w:tcPr>
          <w:p w14:paraId="02173CF6"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1989</w:t>
            </w:r>
          </w:p>
        </w:tc>
        <w:tc>
          <w:tcPr>
            <w:tcW w:w="6946" w:type="dxa"/>
            <w:shd w:val="clear" w:color="auto" w:fill="auto"/>
            <w:vAlign w:val="center"/>
            <w:hideMark/>
          </w:tcPr>
          <w:p w14:paraId="508A5EDE" w14:textId="14966AA9"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La guía de origen español es un documento del año 2000 y actualizado en 2015, que muestra de manera secuencial los aspectos técnicos, tangencialmente los medioambientales y económicos, que se deben tener en cuenta para el diseño y construcción de una escombrera estable geotécnicamente. </w:t>
            </w:r>
            <w:r w:rsidRPr="00AB1C80">
              <w:rPr>
                <w:rFonts w:eastAsia="Times New Roman" w:cs="Arial"/>
                <w:sz w:val="20"/>
                <w:szCs w:val="20"/>
                <w:lang w:eastAsia="es-CO"/>
              </w:rPr>
              <w:br/>
            </w:r>
            <w:r w:rsidRPr="00AB1C80">
              <w:rPr>
                <w:rFonts w:eastAsia="Times New Roman" w:cs="Arial"/>
                <w:sz w:val="20"/>
                <w:szCs w:val="20"/>
                <w:lang w:eastAsia="es-CO"/>
              </w:rPr>
              <w:br/>
              <w:t>La guía no especifica o diferencia sus recomendaciones en ningún aparte entre estériles de minas de minerales metálicos y no metálicos, se interpreta que todos los materiales que se dispondrán en las escombreras no tienen ningún valor económico. Trata con un capítulo aparte las escombreras de estériles provenientes del carbón y lo enfoca hacia los incendios de las escombreras y al manejo de las aguas ácidas que se puedan generar y como con su proceso constructivo se podrá minimizar o mitigar el impacto ambiental.</w:t>
            </w:r>
          </w:p>
        </w:tc>
      </w:tr>
      <w:tr w:rsidR="008B0446" w:rsidRPr="00AB1C80" w14:paraId="6E2C143A" w14:textId="77777777" w:rsidTr="008B0446">
        <w:trPr>
          <w:trHeight w:val="20"/>
        </w:trPr>
        <w:tc>
          <w:tcPr>
            <w:tcW w:w="1135" w:type="dxa"/>
            <w:shd w:val="clear" w:color="auto" w:fill="auto"/>
            <w:vAlign w:val="center"/>
            <w:hideMark/>
          </w:tcPr>
          <w:p w14:paraId="03F0B998"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España</w:t>
            </w:r>
          </w:p>
        </w:tc>
        <w:tc>
          <w:tcPr>
            <w:tcW w:w="1701" w:type="dxa"/>
            <w:shd w:val="clear" w:color="auto" w:fill="auto"/>
            <w:vAlign w:val="center"/>
            <w:hideMark/>
          </w:tcPr>
          <w:p w14:paraId="450CB670"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Manual para la Evaluación de Riesgos de Instalaciones de </w:t>
            </w:r>
            <w:r w:rsidRPr="00AB1C80">
              <w:rPr>
                <w:rFonts w:eastAsia="Times New Roman" w:cs="Arial"/>
                <w:color w:val="000000"/>
                <w:sz w:val="20"/>
                <w:szCs w:val="20"/>
                <w:lang w:eastAsia="es-CO"/>
              </w:rPr>
              <w:lastRenderedPageBreak/>
              <w:t>Residuos de Industrias Extractiva Cerradas o Abandonadas</w:t>
            </w:r>
          </w:p>
        </w:tc>
        <w:tc>
          <w:tcPr>
            <w:tcW w:w="3827" w:type="dxa"/>
            <w:shd w:val="clear" w:color="auto" w:fill="auto"/>
            <w:vAlign w:val="center"/>
            <w:hideMark/>
          </w:tcPr>
          <w:p w14:paraId="13BFC5B3"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IGME - Instituto Geológico y Minero de España</w:t>
            </w:r>
          </w:p>
        </w:tc>
        <w:tc>
          <w:tcPr>
            <w:tcW w:w="1276" w:type="dxa"/>
            <w:shd w:val="clear" w:color="auto" w:fill="auto"/>
            <w:vAlign w:val="center"/>
            <w:hideMark/>
          </w:tcPr>
          <w:p w14:paraId="3F1023CB"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2014</w:t>
            </w:r>
          </w:p>
        </w:tc>
        <w:tc>
          <w:tcPr>
            <w:tcW w:w="6946" w:type="dxa"/>
            <w:shd w:val="clear" w:color="auto" w:fill="auto"/>
            <w:vAlign w:val="center"/>
            <w:hideMark/>
          </w:tcPr>
          <w:p w14:paraId="6939EC53"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Este manual es un documento muy detallado respecto a la identificación y evaluación de los riegos inherentes a las instalaciones asociadas al manejo de residuos en un proyecto minero, tiene como base lo establecido en las directivas, directrices, políticas de la legislación española y referentes </w:t>
            </w:r>
            <w:r w:rsidRPr="00AB1C80">
              <w:rPr>
                <w:rFonts w:eastAsia="Times New Roman" w:cs="Arial"/>
                <w:sz w:val="20"/>
                <w:szCs w:val="20"/>
                <w:lang w:eastAsia="es-CO"/>
              </w:rPr>
              <w:lastRenderedPageBreak/>
              <w:t>bibliográficos respecto a al tema, todo desde un enfoque técnico que incorpora el componente ambiental y social. Estableciendo las fuentes de generación de los riesgos identificados, cuantificándolos, evaluándolos y estableciendo las posibles consecuencias ocasionadas en el entorno.</w:t>
            </w:r>
            <w:r w:rsidRPr="00AB1C80">
              <w:rPr>
                <w:rFonts w:eastAsia="Times New Roman" w:cs="Arial"/>
                <w:sz w:val="20"/>
                <w:szCs w:val="20"/>
                <w:lang w:eastAsia="es-CO"/>
              </w:rPr>
              <w:br/>
            </w:r>
            <w:r w:rsidRPr="00AB1C80">
              <w:rPr>
                <w:rFonts w:eastAsia="Times New Roman" w:cs="Arial"/>
                <w:sz w:val="20"/>
                <w:szCs w:val="20"/>
                <w:lang w:eastAsia="es-CO"/>
              </w:rPr>
              <w:br/>
              <w:t>El riesgo de define como la medida combinada de la probabilidad de que ocurra un suceso o evento y que sus consecuencias sean más o menos negativas conjugando la probabilidad de ocurrencia y la severidad de las consecuencias. Para su evaluación y análisis se requiere la aplicación de metodologías que incorporen todos los escenarios de riesgo identificados relacionados A la gestión y manejo del material estéril, en donde se incluya la probabilidad, severidad y consecuencias de la ocurrencia de eventos. La probabilidad de ocurrencia de un determinado escenario variará según las características concretas del depósito de residuos que se esté evaluando y de las circunstancias en las que se encuentre.</w:t>
            </w:r>
          </w:p>
        </w:tc>
      </w:tr>
      <w:tr w:rsidR="008B0446" w:rsidRPr="00AB1C80" w14:paraId="5C0864B4" w14:textId="77777777" w:rsidTr="008B0446">
        <w:trPr>
          <w:trHeight w:val="20"/>
        </w:trPr>
        <w:tc>
          <w:tcPr>
            <w:tcW w:w="1135" w:type="dxa"/>
            <w:shd w:val="clear" w:color="auto" w:fill="auto"/>
            <w:vAlign w:val="center"/>
            <w:hideMark/>
          </w:tcPr>
          <w:p w14:paraId="1D965E88"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Perú</w:t>
            </w:r>
          </w:p>
        </w:tc>
        <w:tc>
          <w:tcPr>
            <w:tcW w:w="1701" w:type="dxa"/>
            <w:shd w:val="clear" w:color="auto" w:fill="auto"/>
            <w:vAlign w:val="center"/>
            <w:hideMark/>
          </w:tcPr>
          <w:p w14:paraId="2CB55017"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Elaboración e Implantación de un Plan de Manejo Integral de Residuos Sólidos en una Unidad Minera</w:t>
            </w:r>
          </w:p>
        </w:tc>
        <w:tc>
          <w:tcPr>
            <w:tcW w:w="3827" w:type="dxa"/>
            <w:shd w:val="clear" w:color="auto" w:fill="auto"/>
            <w:noWrap/>
            <w:vAlign w:val="center"/>
            <w:hideMark/>
          </w:tcPr>
          <w:p w14:paraId="42CE3D2D"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Luis Ricardo Rivera Pino </w:t>
            </w:r>
          </w:p>
        </w:tc>
        <w:tc>
          <w:tcPr>
            <w:tcW w:w="1276" w:type="dxa"/>
            <w:shd w:val="clear" w:color="auto" w:fill="auto"/>
            <w:vAlign w:val="center"/>
            <w:hideMark/>
          </w:tcPr>
          <w:p w14:paraId="7D0DB160"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2018</w:t>
            </w:r>
          </w:p>
        </w:tc>
        <w:tc>
          <w:tcPr>
            <w:tcW w:w="6946" w:type="dxa"/>
            <w:shd w:val="clear" w:color="auto" w:fill="auto"/>
            <w:vAlign w:val="center"/>
            <w:hideMark/>
          </w:tcPr>
          <w:p w14:paraId="115A9B66"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El documento se enfoca en el manejo de residuos sólidos en un proyecto minero, pero exceptuando los estériles.</w:t>
            </w:r>
            <w:r w:rsidRPr="00AB1C80">
              <w:rPr>
                <w:rFonts w:eastAsia="Times New Roman" w:cs="Arial"/>
                <w:sz w:val="20"/>
                <w:szCs w:val="20"/>
                <w:lang w:eastAsia="es-CO"/>
              </w:rPr>
              <w:br/>
            </w:r>
            <w:r w:rsidRPr="00AB1C80">
              <w:rPr>
                <w:rFonts w:eastAsia="Times New Roman" w:cs="Arial"/>
                <w:sz w:val="20"/>
                <w:szCs w:val="20"/>
                <w:lang w:eastAsia="es-CO"/>
              </w:rPr>
              <w:br/>
              <w:t xml:space="preserve">“El plan de minimización y manejo de residuos sólidos no incluye el manejo de relaves, desmontes, residuos de beneficio, de procesos metalúrgicos”. </w:t>
            </w:r>
          </w:p>
        </w:tc>
      </w:tr>
      <w:tr w:rsidR="008B0446" w:rsidRPr="00AB1C80" w14:paraId="06804DBB" w14:textId="77777777" w:rsidTr="008B0446">
        <w:trPr>
          <w:trHeight w:val="20"/>
        </w:trPr>
        <w:tc>
          <w:tcPr>
            <w:tcW w:w="1135" w:type="dxa"/>
            <w:shd w:val="clear" w:color="auto" w:fill="auto"/>
            <w:vAlign w:val="center"/>
            <w:hideMark/>
          </w:tcPr>
          <w:p w14:paraId="76FE3DEA" w14:textId="77777777" w:rsidR="008B0446" w:rsidRPr="00AB1C80" w:rsidRDefault="008B044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Perú</w:t>
            </w:r>
          </w:p>
        </w:tc>
        <w:tc>
          <w:tcPr>
            <w:tcW w:w="1701" w:type="dxa"/>
            <w:shd w:val="clear" w:color="auto" w:fill="auto"/>
            <w:vAlign w:val="center"/>
            <w:hideMark/>
          </w:tcPr>
          <w:p w14:paraId="129A3964"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Residuos y Áreas Verdes</w:t>
            </w:r>
          </w:p>
        </w:tc>
        <w:tc>
          <w:tcPr>
            <w:tcW w:w="3827" w:type="dxa"/>
            <w:shd w:val="clear" w:color="auto" w:fill="auto"/>
            <w:vAlign w:val="center"/>
            <w:hideMark/>
          </w:tcPr>
          <w:p w14:paraId="41985CB6"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Ministerios del Ambiente</w:t>
            </w:r>
          </w:p>
        </w:tc>
        <w:tc>
          <w:tcPr>
            <w:tcW w:w="1276" w:type="dxa"/>
            <w:shd w:val="clear" w:color="auto" w:fill="auto"/>
            <w:noWrap/>
            <w:vAlign w:val="center"/>
            <w:hideMark/>
          </w:tcPr>
          <w:p w14:paraId="0D29927A" w14:textId="77777777" w:rsidR="008B0446" w:rsidRPr="00AB1C80" w:rsidRDefault="008B044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2016</w:t>
            </w:r>
          </w:p>
        </w:tc>
        <w:tc>
          <w:tcPr>
            <w:tcW w:w="6946" w:type="dxa"/>
            <w:shd w:val="clear" w:color="auto" w:fill="auto"/>
            <w:vAlign w:val="center"/>
            <w:hideMark/>
          </w:tcPr>
          <w:p w14:paraId="0EE51C6D" w14:textId="77777777" w:rsidR="008B0446" w:rsidRPr="00AB1C80" w:rsidRDefault="008B044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El documento analizado contiene de forma general definiciones y descripciones de algunos procesos en el manejo de residuos, sin embargo, no se profundiza en la normatividad, procedimiento ni en los parámetros de diseño, cálculos volumétricos, etc. El documento es más una pieza informativa y descriptiva del manejo de residuos sólidos “enfocado levemente” a la minería artesanal. </w:t>
            </w:r>
          </w:p>
        </w:tc>
      </w:tr>
    </w:tbl>
    <w:p w14:paraId="5CACC789" w14:textId="570F90F5" w:rsidR="005D5190" w:rsidRPr="00AB1C80" w:rsidRDefault="00893FE9" w:rsidP="00AB1C80">
      <w:pPr>
        <w:pStyle w:val="Fuente"/>
        <w:spacing w:line="276" w:lineRule="auto"/>
        <w:rPr>
          <w:rFonts w:cs="Arial"/>
          <w:lang w:val="es-CO"/>
        </w:rPr>
      </w:pPr>
      <w:r w:rsidRPr="00AB1C80">
        <w:rPr>
          <w:rFonts w:cs="Arial"/>
          <w:lang w:val="es-CO"/>
        </w:rPr>
        <w:t>Fuente: ATG Ltda., 2021.</w:t>
      </w:r>
    </w:p>
    <w:p w14:paraId="0B38E21F" w14:textId="20476DF2" w:rsidR="00893FE9" w:rsidRPr="00AB1C80" w:rsidRDefault="00893FE9" w:rsidP="00AB1C80">
      <w:pPr>
        <w:spacing w:line="276" w:lineRule="auto"/>
        <w:jc w:val="center"/>
        <w:rPr>
          <w:rFonts w:cs="Arial"/>
        </w:rPr>
      </w:pPr>
    </w:p>
    <w:p w14:paraId="70C50A5F" w14:textId="21EC5F72" w:rsidR="00893FE9" w:rsidRPr="00AB1C80" w:rsidRDefault="00893FE9" w:rsidP="00AB1C80">
      <w:pPr>
        <w:pStyle w:val="Descripcin"/>
        <w:spacing w:line="276" w:lineRule="auto"/>
        <w:rPr>
          <w:rFonts w:cs="Arial"/>
          <w:lang w:val="es-CO"/>
        </w:rPr>
      </w:pPr>
      <w:bookmarkStart w:id="73" w:name="_Ref86249946"/>
      <w:bookmarkStart w:id="74" w:name="_Toc86333020"/>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15</w:t>
      </w:r>
      <w:r w:rsidRPr="00AB1C80">
        <w:rPr>
          <w:rFonts w:cs="Arial"/>
          <w:lang w:val="es-CO"/>
        </w:rPr>
        <w:fldChar w:fldCharType="end"/>
      </w:r>
      <w:bookmarkEnd w:id="73"/>
      <w:r w:rsidRPr="00AB1C80">
        <w:rPr>
          <w:rFonts w:cs="Arial"/>
          <w:lang w:val="es-CO"/>
        </w:rPr>
        <w:t>. Revisión de información internacional por otros documentos para la gestión y manejo de estériles.</w:t>
      </w:r>
      <w:bookmarkEnd w:id="74"/>
    </w:p>
    <w:tbl>
      <w:tblPr>
        <w:tblW w:w="14885" w:type="dxa"/>
        <w:tblInd w:w="-998" w:type="dxa"/>
        <w:tblCellMar>
          <w:left w:w="70" w:type="dxa"/>
          <w:right w:w="70" w:type="dxa"/>
        </w:tblCellMar>
        <w:tblLook w:val="04A0" w:firstRow="1" w:lastRow="0" w:firstColumn="1" w:lastColumn="0" w:noHBand="0" w:noVBand="1"/>
      </w:tblPr>
      <w:tblGrid>
        <w:gridCol w:w="1135"/>
        <w:gridCol w:w="1701"/>
        <w:gridCol w:w="3827"/>
        <w:gridCol w:w="1276"/>
        <w:gridCol w:w="6946"/>
      </w:tblGrid>
      <w:tr w:rsidR="002340A6" w:rsidRPr="00AB1C80" w14:paraId="593A7E61" w14:textId="77777777" w:rsidTr="002340A6">
        <w:trPr>
          <w:trHeight w:val="20"/>
          <w:tblHeader/>
        </w:trPr>
        <w:tc>
          <w:tcPr>
            <w:tcW w:w="1135"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744C9836" w14:textId="77777777" w:rsidR="002340A6" w:rsidRPr="00AB1C80" w:rsidRDefault="002340A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 xml:space="preserve">País </w:t>
            </w:r>
          </w:p>
        </w:tc>
        <w:tc>
          <w:tcPr>
            <w:tcW w:w="1701" w:type="dxa"/>
            <w:tcBorders>
              <w:top w:val="single" w:sz="4" w:space="0" w:color="auto"/>
              <w:left w:val="nil"/>
              <w:bottom w:val="single" w:sz="4" w:space="0" w:color="auto"/>
              <w:right w:val="single" w:sz="4" w:space="0" w:color="auto"/>
            </w:tcBorders>
            <w:shd w:val="clear" w:color="1E345C" w:fill="1E345C"/>
            <w:vAlign w:val="center"/>
            <w:hideMark/>
          </w:tcPr>
          <w:p w14:paraId="397840C2" w14:textId="77777777" w:rsidR="002340A6" w:rsidRPr="00AB1C80" w:rsidRDefault="002340A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3827" w:type="dxa"/>
            <w:tcBorders>
              <w:top w:val="single" w:sz="4" w:space="0" w:color="auto"/>
              <w:left w:val="nil"/>
              <w:bottom w:val="single" w:sz="4" w:space="0" w:color="auto"/>
              <w:right w:val="single" w:sz="4" w:space="0" w:color="auto"/>
            </w:tcBorders>
            <w:shd w:val="clear" w:color="1E345C" w:fill="1E345C"/>
            <w:vAlign w:val="center"/>
            <w:hideMark/>
          </w:tcPr>
          <w:p w14:paraId="5559371B" w14:textId="77777777" w:rsidR="002340A6" w:rsidRPr="00AB1C80" w:rsidRDefault="002340A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76" w:type="dxa"/>
            <w:tcBorders>
              <w:top w:val="single" w:sz="4" w:space="0" w:color="auto"/>
              <w:left w:val="nil"/>
              <w:bottom w:val="single" w:sz="4" w:space="0" w:color="auto"/>
              <w:right w:val="single" w:sz="4" w:space="0" w:color="auto"/>
            </w:tcBorders>
            <w:shd w:val="clear" w:color="1E345C" w:fill="1E345C"/>
            <w:vAlign w:val="center"/>
            <w:hideMark/>
          </w:tcPr>
          <w:p w14:paraId="5AA3DE79" w14:textId="77777777" w:rsidR="002340A6" w:rsidRPr="00AB1C80" w:rsidRDefault="002340A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6946" w:type="dxa"/>
            <w:tcBorders>
              <w:top w:val="single" w:sz="4" w:space="0" w:color="auto"/>
              <w:left w:val="nil"/>
              <w:bottom w:val="single" w:sz="4" w:space="0" w:color="auto"/>
              <w:right w:val="single" w:sz="4" w:space="0" w:color="auto"/>
            </w:tcBorders>
            <w:shd w:val="clear" w:color="1E345C" w:fill="1E345C"/>
            <w:vAlign w:val="center"/>
            <w:hideMark/>
          </w:tcPr>
          <w:p w14:paraId="5B9AB5BA" w14:textId="77777777" w:rsidR="002340A6" w:rsidRPr="00AB1C80" w:rsidRDefault="002340A6"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2340A6" w:rsidRPr="00AB1C80" w14:paraId="25D714B0" w14:textId="77777777" w:rsidTr="002340A6">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340F38F7" w14:textId="77777777" w:rsidR="002340A6" w:rsidRPr="00AB1C80" w:rsidRDefault="002340A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Argentina</w:t>
            </w:r>
          </w:p>
        </w:tc>
        <w:tc>
          <w:tcPr>
            <w:tcW w:w="1701" w:type="dxa"/>
            <w:tcBorders>
              <w:top w:val="nil"/>
              <w:left w:val="nil"/>
              <w:bottom w:val="single" w:sz="4" w:space="0" w:color="auto"/>
              <w:right w:val="single" w:sz="4" w:space="0" w:color="auto"/>
            </w:tcBorders>
            <w:shd w:val="clear" w:color="auto" w:fill="auto"/>
            <w:vAlign w:val="center"/>
            <w:hideMark/>
          </w:tcPr>
          <w:p w14:paraId="47091A85"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Escombreras Ubicación Estabilidad y Contaminación Ambiental</w:t>
            </w:r>
          </w:p>
        </w:tc>
        <w:tc>
          <w:tcPr>
            <w:tcW w:w="3827" w:type="dxa"/>
            <w:tcBorders>
              <w:top w:val="nil"/>
              <w:left w:val="nil"/>
              <w:bottom w:val="single" w:sz="4" w:space="0" w:color="auto"/>
              <w:right w:val="single" w:sz="4" w:space="0" w:color="auto"/>
            </w:tcBorders>
            <w:shd w:val="clear" w:color="auto" w:fill="auto"/>
            <w:noWrap/>
            <w:vAlign w:val="center"/>
            <w:hideMark/>
          </w:tcPr>
          <w:p w14:paraId="434B4266"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Raúl Alberto Actis</w:t>
            </w:r>
          </w:p>
        </w:tc>
        <w:tc>
          <w:tcPr>
            <w:tcW w:w="1276" w:type="dxa"/>
            <w:tcBorders>
              <w:top w:val="nil"/>
              <w:left w:val="nil"/>
              <w:bottom w:val="single" w:sz="4" w:space="0" w:color="auto"/>
              <w:right w:val="single" w:sz="4" w:space="0" w:color="auto"/>
            </w:tcBorders>
            <w:shd w:val="clear" w:color="auto" w:fill="auto"/>
            <w:noWrap/>
            <w:vAlign w:val="center"/>
            <w:hideMark/>
          </w:tcPr>
          <w:p w14:paraId="393F13FA"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2009</w:t>
            </w:r>
          </w:p>
        </w:tc>
        <w:tc>
          <w:tcPr>
            <w:tcW w:w="6946" w:type="dxa"/>
            <w:tcBorders>
              <w:top w:val="nil"/>
              <w:left w:val="nil"/>
              <w:bottom w:val="single" w:sz="4" w:space="0" w:color="auto"/>
              <w:right w:val="single" w:sz="4" w:space="0" w:color="auto"/>
            </w:tcBorders>
            <w:shd w:val="clear" w:color="auto" w:fill="auto"/>
            <w:vAlign w:val="center"/>
            <w:hideMark/>
          </w:tcPr>
          <w:p w14:paraId="43EE3E41" w14:textId="77777777" w:rsidR="002340A6" w:rsidRPr="00AB1C80" w:rsidRDefault="002340A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El libro es un documento orientativo, que aborda de manera general algunas de las etapas en la gestión y manejo de los depósitos de estéril que para este caso se define como escombrera. Sin entrar en detalles o particularidades permite dar orientaciones claras y concisas respecto a cada una de las temáticas desarrolladas, teniendo como base aspectos técnicos, ligados a diferentes variables relacionadas a su ubicación geográfica y dinámica con el componente ambiental y social. </w:t>
            </w:r>
            <w:r w:rsidRPr="00AB1C80">
              <w:rPr>
                <w:rFonts w:eastAsia="Times New Roman" w:cs="Arial"/>
                <w:sz w:val="20"/>
                <w:szCs w:val="20"/>
                <w:lang w:eastAsia="es-CO"/>
              </w:rPr>
              <w:br/>
            </w:r>
            <w:r w:rsidRPr="00AB1C80">
              <w:rPr>
                <w:rFonts w:eastAsia="Times New Roman" w:cs="Arial"/>
                <w:sz w:val="20"/>
                <w:szCs w:val="20"/>
                <w:lang w:eastAsia="es-CO"/>
              </w:rPr>
              <w:br/>
              <w:t>En sus capítulos plantea aspectos que se deben considerar en el emplazamiento, diseño, estabilidad y restauración de una escombrera, teniendo siempre en cuenta los impactos ambientales derivados del riesgo asociado a estas estructuras. Como se mencionó anteriormente algunos componentes de la gestión y manejo de estériles se desarrollan de manera general, por lo cual es posible requerir de profundización en los mismos. Con el objetivo de la estructuración y construcción de los lineamientos se convierte en un documento importante del cual se pueden extraer aspectos relevantes.</w:t>
            </w:r>
          </w:p>
        </w:tc>
      </w:tr>
      <w:tr w:rsidR="002340A6" w:rsidRPr="00AB1C80" w14:paraId="228B5681" w14:textId="77777777" w:rsidTr="002340A6">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47416BF2" w14:textId="77777777" w:rsidR="002340A6" w:rsidRPr="00AB1C80" w:rsidRDefault="002340A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Argentina</w:t>
            </w:r>
          </w:p>
        </w:tc>
        <w:tc>
          <w:tcPr>
            <w:tcW w:w="1701" w:type="dxa"/>
            <w:tcBorders>
              <w:top w:val="nil"/>
              <w:left w:val="nil"/>
              <w:bottom w:val="single" w:sz="4" w:space="0" w:color="auto"/>
              <w:right w:val="single" w:sz="4" w:space="0" w:color="auto"/>
            </w:tcBorders>
            <w:shd w:val="clear" w:color="auto" w:fill="auto"/>
            <w:vAlign w:val="center"/>
            <w:hideMark/>
          </w:tcPr>
          <w:p w14:paraId="33D6EBBF"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Gestión Racional de Residuos Mineros</w:t>
            </w:r>
          </w:p>
        </w:tc>
        <w:tc>
          <w:tcPr>
            <w:tcW w:w="3827" w:type="dxa"/>
            <w:tcBorders>
              <w:top w:val="nil"/>
              <w:left w:val="nil"/>
              <w:bottom w:val="single" w:sz="4" w:space="0" w:color="auto"/>
              <w:right w:val="single" w:sz="4" w:space="0" w:color="auto"/>
            </w:tcBorders>
            <w:shd w:val="clear" w:color="auto" w:fill="auto"/>
            <w:noWrap/>
            <w:vAlign w:val="center"/>
            <w:hideMark/>
          </w:tcPr>
          <w:p w14:paraId="571EC724"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Ministerio de Desarrollo Productivo Argentina </w:t>
            </w:r>
          </w:p>
        </w:tc>
        <w:tc>
          <w:tcPr>
            <w:tcW w:w="1276" w:type="dxa"/>
            <w:tcBorders>
              <w:top w:val="nil"/>
              <w:left w:val="nil"/>
              <w:bottom w:val="single" w:sz="4" w:space="0" w:color="auto"/>
              <w:right w:val="single" w:sz="4" w:space="0" w:color="auto"/>
            </w:tcBorders>
            <w:shd w:val="clear" w:color="auto" w:fill="auto"/>
            <w:noWrap/>
            <w:vAlign w:val="center"/>
            <w:hideMark/>
          </w:tcPr>
          <w:p w14:paraId="52CA983A"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2021</w:t>
            </w:r>
          </w:p>
        </w:tc>
        <w:tc>
          <w:tcPr>
            <w:tcW w:w="6946" w:type="dxa"/>
            <w:tcBorders>
              <w:top w:val="nil"/>
              <w:left w:val="nil"/>
              <w:bottom w:val="single" w:sz="4" w:space="0" w:color="auto"/>
              <w:right w:val="single" w:sz="4" w:space="0" w:color="auto"/>
            </w:tcBorders>
            <w:shd w:val="clear" w:color="auto" w:fill="auto"/>
            <w:vAlign w:val="center"/>
            <w:hideMark/>
          </w:tcPr>
          <w:p w14:paraId="413ED558" w14:textId="77777777" w:rsidR="002340A6" w:rsidRPr="00AB1C80" w:rsidRDefault="002340A6" w:rsidP="00AE4D25">
            <w:pPr>
              <w:spacing w:line="276" w:lineRule="auto"/>
              <w:rPr>
                <w:rFonts w:eastAsia="Times New Roman" w:cs="Arial"/>
                <w:sz w:val="20"/>
                <w:szCs w:val="20"/>
                <w:lang w:eastAsia="es-CO"/>
              </w:rPr>
            </w:pPr>
            <w:r w:rsidRPr="00AB1C80">
              <w:rPr>
                <w:rFonts w:eastAsia="Times New Roman" w:cs="Arial"/>
                <w:sz w:val="20"/>
                <w:szCs w:val="20"/>
                <w:lang w:eastAsia="es-CO"/>
              </w:rPr>
              <w:t>Al igual que Colombia, Argentina no cuenta con un marco legal que permita imponer el manejo de residuos mineros. Por tal motivo, se describen de forma básica, los lineamientos que la minería debe tener en cuenta para el manejo de sus residuos mineros, incluyendo la economía circular.</w:t>
            </w:r>
            <w:r w:rsidRPr="00AB1C80">
              <w:rPr>
                <w:rFonts w:eastAsia="Times New Roman" w:cs="Arial"/>
                <w:sz w:val="20"/>
                <w:szCs w:val="20"/>
                <w:lang w:eastAsia="es-CO"/>
              </w:rPr>
              <w:br/>
            </w:r>
            <w:r w:rsidRPr="00AB1C80">
              <w:rPr>
                <w:rFonts w:eastAsia="Times New Roman" w:cs="Arial"/>
                <w:sz w:val="20"/>
                <w:szCs w:val="20"/>
                <w:lang w:eastAsia="es-CO"/>
              </w:rPr>
              <w:br/>
              <w:t>Sorprende que definen al suelo o material vegetal (descapote) como un residuo y enfatizan en su uso para el plan de cierre. El descapote en minería en Colombia se ha considerado como un recurso valioso para ser utilizado en el plan de cierre.  De hecho, debe conservarse, monitorearse en el almacenamiento temporal y luego cuando se dispone finamente en las áreas que fueron objeto de minería.</w:t>
            </w:r>
          </w:p>
        </w:tc>
      </w:tr>
      <w:tr w:rsidR="002340A6" w:rsidRPr="00AB1C80" w14:paraId="78CC3C99" w14:textId="77777777" w:rsidTr="002340A6">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56825BEB" w14:textId="77777777" w:rsidR="002340A6" w:rsidRPr="00AB1C80" w:rsidRDefault="002340A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Argentina</w:t>
            </w:r>
          </w:p>
        </w:tc>
        <w:tc>
          <w:tcPr>
            <w:tcW w:w="1701" w:type="dxa"/>
            <w:tcBorders>
              <w:top w:val="nil"/>
              <w:left w:val="nil"/>
              <w:bottom w:val="single" w:sz="4" w:space="0" w:color="auto"/>
              <w:right w:val="single" w:sz="4" w:space="0" w:color="auto"/>
            </w:tcBorders>
            <w:shd w:val="clear" w:color="auto" w:fill="auto"/>
            <w:vAlign w:val="center"/>
            <w:hideMark/>
          </w:tcPr>
          <w:p w14:paraId="620D2408"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HAZOP como metodología de </w:t>
            </w:r>
            <w:r w:rsidRPr="00AB1C80">
              <w:rPr>
                <w:rFonts w:eastAsia="Times New Roman" w:cs="Arial"/>
                <w:color w:val="000000"/>
                <w:sz w:val="20"/>
                <w:szCs w:val="20"/>
                <w:lang w:eastAsia="es-CO"/>
              </w:rPr>
              <w:lastRenderedPageBreak/>
              <w:t>análisis de riesgos</w:t>
            </w:r>
          </w:p>
        </w:tc>
        <w:tc>
          <w:tcPr>
            <w:tcW w:w="3827" w:type="dxa"/>
            <w:tcBorders>
              <w:top w:val="nil"/>
              <w:left w:val="nil"/>
              <w:bottom w:val="single" w:sz="4" w:space="0" w:color="auto"/>
              <w:right w:val="single" w:sz="4" w:space="0" w:color="auto"/>
            </w:tcBorders>
            <w:shd w:val="clear" w:color="auto" w:fill="auto"/>
            <w:vAlign w:val="center"/>
            <w:hideMark/>
          </w:tcPr>
          <w:p w14:paraId="2D2C22B2"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Pablo Freedman</w:t>
            </w:r>
          </w:p>
        </w:tc>
        <w:tc>
          <w:tcPr>
            <w:tcW w:w="1276" w:type="dxa"/>
            <w:tcBorders>
              <w:top w:val="nil"/>
              <w:left w:val="nil"/>
              <w:bottom w:val="single" w:sz="4" w:space="0" w:color="auto"/>
              <w:right w:val="single" w:sz="4" w:space="0" w:color="auto"/>
            </w:tcBorders>
            <w:shd w:val="clear" w:color="auto" w:fill="auto"/>
            <w:vAlign w:val="center"/>
            <w:hideMark/>
          </w:tcPr>
          <w:p w14:paraId="113BCDB3"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2003</w:t>
            </w:r>
          </w:p>
        </w:tc>
        <w:tc>
          <w:tcPr>
            <w:tcW w:w="6946" w:type="dxa"/>
            <w:tcBorders>
              <w:top w:val="nil"/>
              <w:left w:val="nil"/>
              <w:bottom w:val="single" w:sz="4" w:space="0" w:color="auto"/>
              <w:right w:val="single" w:sz="4" w:space="0" w:color="auto"/>
            </w:tcBorders>
            <w:shd w:val="clear" w:color="auto" w:fill="auto"/>
            <w:vAlign w:val="center"/>
            <w:hideMark/>
          </w:tcPr>
          <w:p w14:paraId="3E4F06FF" w14:textId="77777777" w:rsidR="002340A6" w:rsidRPr="00AB1C80" w:rsidRDefault="002340A6" w:rsidP="00AE4D25">
            <w:pPr>
              <w:spacing w:line="276" w:lineRule="auto"/>
              <w:rPr>
                <w:rFonts w:eastAsia="Times New Roman" w:cs="Arial"/>
                <w:sz w:val="20"/>
                <w:szCs w:val="20"/>
                <w:lang w:eastAsia="es-CO"/>
              </w:rPr>
            </w:pPr>
            <w:r w:rsidRPr="00AB1C80">
              <w:rPr>
                <w:rFonts w:eastAsia="Times New Roman" w:cs="Arial"/>
                <w:sz w:val="20"/>
                <w:szCs w:val="20"/>
                <w:lang w:eastAsia="es-CO"/>
              </w:rPr>
              <w:t xml:space="preserve">HAZOP se puede ejecutar en cualquier fase del proyecto: diseño, ingeniería básica o de detalle, antes de la puesta en marcha, pero es recomendable </w:t>
            </w:r>
            <w:r w:rsidRPr="00AB1C80">
              <w:rPr>
                <w:rFonts w:eastAsia="Times New Roman" w:cs="Arial"/>
                <w:sz w:val="20"/>
                <w:szCs w:val="20"/>
                <w:lang w:eastAsia="es-CO"/>
              </w:rPr>
              <w:lastRenderedPageBreak/>
              <w:t>hacerlo en etapas tempranas del proyecto.  HAZOP debe hacerse varias veces durante la vida útil del proyecto, antes de cualquier cambio en el proceso.</w:t>
            </w:r>
            <w:r w:rsidRPr="00AB1C80">
              <w:rPr>
                <w:rFonts w:eastAsia="Times New Roman" w:cs="Arial"/>
                <w:sz w:val="20"/>
                <w:szCs w:val="20"/>
                <w:lang w:eastAsia="es-CO"/>
              </w:rPr>
              <w:br/>
            </w:r>
            <w:r w:rsidRPr="00AB1C80">
              <w:rPr>
                <w:rFonts w:eastAsia="Times New Roman" w:cs="Arial"/>
                <w:sz w:val="20"/>
                <w:szCs w:val="20"/>
                <w:lang w:eastAsia="es-CO"/>
              </w:rPr>
              <w:br/>
              <w:t xml:space="preserve">HAZOP depende de la calidad y cantidad de información disponible. Personas que intervienen entre 4 y máximo 8 personas. </w:t>
            </w:r>
            <w:r w:rsidRPr="00AB1C80">
              <w:rPr>
                <w:rFonts w:eastAsia="Times New Roman" w:cs="Arial"/>
                <w:sz w:val="20"/>
                <w:szCs w:val="20"/>
                <w:lang w:eastAsia="es-CO"/>
              </w:rPr>
              <w:br/>
              <w:t>Las personas proponen las causas que son de tres tipos: error humano, falla de equipamiento y eventos externos.</w:t>
            </w:r>
            <w:r w:rsidRPr="00AB1C80">
              <w:rPr>
                <w:rFonts w:eastAsia="Times New Roman" w:cs="Arial"/>
                <w:sz w:val="20"/>
                <w:szCs w:val="20"/>
                <w:lang w:eastAsia="es-CO"/>
              </w:rPr>
              <w:br/>
              <w:t>Para cada causa se plantea una consecuencia y el control existente para evitar que ocurra o para mitigar su efecto.</w:t>
            </w:r>
            <w:r w:rsidRPr="00AB1C80">
              <w:rPr>
                <w:rFonts w:eastAsia="Times New Roman" w:cs="Arial"/>
                <w:sz w:val="20"/>
                <w:szCs w:val="20"/>
                <w:lang w:eastAsia="es-CO"/>
              </w:rPr>
              <w:br/>
            </w:r>
            <w:r w:rsidRPr="00AB1C80">
              <w:rPr>
                <w:rFonts w:eastAsia="Times New Roman" w:cs="Arial"/>
                <w:sz w:val="20"/>
                <w:szCs w:val="20"/>
                <w:lang w:eastAsia="es-CO"/>
              </w:rPr>
              <w:br/>
              <w:t>El objetivo de HAZOP es identificar los riesgos y dejarlos documentados mas no resolver todos los problemas que aparecen. Lo más importante del informe son las recomendaciones que son priorizadas de acuerdo con el ranking de riesgo.  Las recomendaciones incluyen cambios en diseño, operación, mantenimiento (eliminan o reducen el impacto), sus desviaciones y sus consecuencias.</w:t>
            </w:r>
            <w:r w:rsidRPr="00AB1C80">
              <w:rPr>
                <w:rFonts w:eastAsia="Times New Roman" w:cs="Arial"/>
                <w:sz w:val="20"/>
                <w:szCs w:val="20"/>
                <w:lang w:eastAsia="es-CO"/>
              </w:rPr>
              <w:br/>
              <w:t>HAZOP es eficaz si se implementa y tiene pleno conocimiento de las contingencias.  Los riesgos son fuentes de situaciones peligrosas e impactan negativamente a la rentabilidad.</w:t>
            </w:r>
          </w:p>
        </w:tc>
      </w:tr>
      <w:tr w:rsidR="002340A6" w:rsidRPr="00AB1C80" w14:paraId="198455AB" w14:textId="77777777" w:rsidTr="002340A6">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4E3DC33A" w14:textId="77777777" w:rsidR="002340A6" w:rsidRPr="00AB1C80" w:rsidRDefault="002340A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Brasil</w:t>
            </w:r>
          </w:p>
        </w:tc>
        <w:tc>
          <w:tcPr>
            <w:tcW w:w="1701" w:type="dxa"/>
            <w:tcBorders>
              <w:top w:val="nil"/>
              <w:left w:val="nil"/>
              <w:bottom w:val="single" w:sz="4" w:space="0" w:color="auto"/>
              <w:right w:val="single" w:sz="4" w:space="0" w:color="auto"/>
            </w:tcBorders>
            <w:shd w:val="clear" w:color="auto" w:fill="auto"/>
            <w:vAlign w:val="center"/>
            <w:hideMark/>
          </w:tcPr>
          <w:p w14:paraId="32775579"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Manejo de Residuos de Minería</w:t>
            </w:r>
          </w:p>
        </w:tc>
        <w:tc>
          <w:tcPr>
            <w:tcW w:w="3827" w:type="dxa"/>
            <w:tcBorders>
              <w:top w:val="nil"/>
              <w:left w:val="nil"/>
              <w:bottom w:val="single" w:sz="4" w:space="0" w:color="auto"/>
              <w:right w:val="single" w:sz="4" w:space="0" w:color="auto"/>
            </w:tcBorders>
            <w:shd w:val="clear" w:color="auto" w:fill="auto"/>
            <w:noWrap/>
            <w:vAlign w:val="center"/>
            <w:hideMark/>
          </w:tcPr>
          <w:p w14:paraId="2716CEC9" w14:textId="77777777" w:rsidR="002340A6" w:rsidRPr="00AB1C80" w:rsidRDefault="002340A6" w:rsidP="00AB1C80">
            <w:pPr>
              <w:spacing w:line="276" w:lineRule="auto"/>
              <w:jc w:val="center"/>
              <w:rPr>
                <w:rFonts w:eastAsia="Times New Roman" w:cs="Arial"/>
                <w:color w:val="202124"/>
                <w:sz w:val="20"/>
                <w:szCs w:val="20"/>
                <w:lang w:eastAsia="es-CO"/>
              </w:rPr>
            </w:pPr>
            <w:r w:rsidRPr="00AB1C80">
              <w:rPr>
                <w:rFonts w:eastAsia="Times New Roman" w:cs="Arial"/>
                <w:color w:val="202124"/>
                <w:sz w:val="20"/>
                <w:szCs w:val="20"/>
                <w:lang w:eastAsia="es-CO"/>
              </w:rPr>
              <w:t xml:space="preserve">Luis Enrique Sánchez </w:t>
            </w:r>
          </w:p>
        </w:tc>
        <w:tc>
          <w:tcPr>
            <w:tcW w:w="1276" w:type="dxa"/>
            <w:tcBorders>
              <w:top w:val="nil"/>
              <w:left w:val="nil"/>
              <w:bottom w:val="single" w:sz="4" w:space="0" w:color="auto"/>
              <w:right w:val="single" w:sz="4" w:space="0" w:color="auto"/>
            </w:tcBorders>
            <w:shd w:val="clear" w:color="auto" w:fill="auto"/>
            <w:vAlign w:val="center"/>
            <w:hideMark/>
          </w:tcPr>
          <w:p w14:paraId="3107C7F7"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1995</w:t>
            </w:r>
          </w:p>
        </w:tc>
        <w:tc>
          <w:tcPr>
            <w:tcW w:w="6946" w:type="dxa"/>
            <w:tcBorders>
              <w:top w:val="nil"/>
              <w:left w:val="nil"/>
              <w:bottom w:val="single" w:sz="4" w:space="0" w:color="auto"/>
              <w:right w:val="single" w:sz="4" w:space="0" w:color="auto"/>
            </w:tcBorders>
            <w:shd w:val="clear" w:color="auto" w:fill="auto"/>
            <w:vAlign w:val="center"/>
            <w:hideMark/>
          </w:tcPr>
          <w:p w14:paraId="128F2B7F" w14:textId="77777777" w:rsidR="002340A6" w:rsidRPr="00AB1C80" w:rsidRDefault="002340A6" w:rsidP="00AE4D25">
            <w:pPr>
              <w:spacing w:line="276" w:lineRule="auto"/>
              <w:rPr>
                <w:rFonts w:eastAsia="Times New Roman" w:cs="Arial"/>
                <w:sz w:val="20"/>
                <w:szCs w:val="20"/>
                <w:lang w:eastAsia="es-CO"/>
              </w:rPr>
            </w:pPr>
            <w:r w:rsidRPr="00AB1C80">
              <w:rPr>
                <w:rFonts w:eastAsia="Times New Roman" w:cs="Arial"/>
                <w:sz w:val="20"/>
                <w:szCs w:val="20"/>
                <w:lang w:eastAsia="es-CO"/>
              </w:rPr>
              <w:t>El documento hace referencia al uso que se le puede dar a los materiales no aprovechables en la minería, como los estériles y los desechos, dado que de estos se pueden obtener minerales acordes con las necesidades de la mina en el transcurso del tiempo. Dado la variedad de los materiales sólidos que se generan en las minas, en Brasil se cuenta con la norma NBR 10004 que regula el manejo y la disposición de los residuos sólidos diferentes a los de minería, y que son generados en las instalaciones de la mina.</w:t>
            </w:r>
            <w:r w:rsidRPr="00AB1C80">
              <w:rPr>
                <w:rFonts w:eastAsia="Times New Roman" w:cs="Arial"/>
                <w:sz w:val="20"/>
                <w:szCs w:val="20"/>
                <w:lang w:eastAsia="es-CO"/>
              </w:rPr>
              <w:br/>
              <w:t>También se contemplan otras opciones de disposición más económicas como las pilas controladas y los montículos; en lo que refiere a las presas de relaves solo se contempla la construcción de los diques con arenas.</w:t>
            </w:r>
            <w:r w:rsidRPr="00AB1C80">
              <w:rPr>
                <w:rFonts w:eastAsia="Times New Roman" w:cs="Arial"/>
                <w:sz w:val="20"/>
                <w:szCs w:val="20"/>
                <w:lang w:eastAsia="es-CO"/>
              </w:rPr>
              <w:br/>
            </w:r>
            <w:r w:rsidRPr="00AB1C80">
              <w:rPr>
                <w:rFonts w:eastAsia="Times New Roman" w:cs="Arial"/>
                <w:sz w:val="20"/>
                <w:szCs w:val="20"/>
                <w:lang w:eastAsia="es-CO"/>
              </w:rPr>
              <w:lastRenderedPageBreak/>
              <w:br/>
              <w:t>Como mala práctica se considera la contaminación del medio subacuático debido a los desechos que se arrojan a las corrientes de agua y que generan daños ecológicos.</w:t>
            </w:r>
            <w:r w:rsidRPr="00AB1C80">
              <w:rPr>
                <w:rFonts w:eastAsia="Times New Roman" w:cs="Arial"/>
                <w:sz w:val="20"/>
                <w:szCs w:val="20"/>
                <w:lang w:eastAsia="es-CO"/>
              </w:rPr>
              <w:br/>
              <w:t>Respecto a los aspectos negativos se contempla el riesgo de que se generen aguas ácidas que contaminen drenajes naturales.</w:t>
            </w:r>
          </w:p>
        </w:tc>
      </w:tr>
      <w:tr w:rsidR="002340A6" w:rsidRPr="00AB1C80" w14:paraId="2799C742" w14:textId="77777777" w:rsidTr="002340A6">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04D7533F" w14:textId="77777777" w:rsidR="002340A6" w:rsidRPr="00AB1C80" w:rsidRDefault="002340A6"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lastRenderedPageBreak/>
              <w:t>Comisión Europea</w:t>
            </w:r>
          </w:p>
        </w:tc>
        <w:tc>
          <w:tcPr>
            <w:tcW w:w="1701" w:type="dxa"/>
            <w:tcBorders>
              <w:top w:val="nil"/>
              <w:left w:val="nil"/>
              <w:bottom w:val="single" w:sz="4" w:space="0" w:color="auto"/>
              <w:right w:val="single" w:sz="4" w:space="0" w:color="auto"/>
            </w:tcBorders>
            <w:shd w:val="clear" w:color="auto" w:fill="auto"/>
            <w:vAlign w:val="center"/>
            <w:hideMark/>
          </w:tcPr>
          <w:p w14:paraId="53A14E5C"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Estudio que Respalda la Elaboración Desorientaciones sobre los Mejores Prácticas en los Planes de Gestión de Residuos Extractivos</w:t>
            </w:r>
          </w:p>
        </w:tc>
        <w:tc>
          <w:tcPr>
            <w:tcW w:w="3827" w:type="dxa"/>
            <w:tcBorders>
              <w:top w:val="nil"/>
              <w:left w:val="nil"/>
              <w:bottom w:val="single" w:sz="4" w:space="0" w:color="auto"/>
              <w:right w:val="single" w:sz="4" w:space="0" w:color="auto"/>
            </w:tcBorders>
            <w:shd w:val="clear" w:color="auto" w:fill="auto"/>
            <w:vAlign w:val="center"/>
            <w:hideMark/>
          </w:tcPr>
          <w:p w14:paraId="6E47FB48" w14:textId="77777777" w:rsidR="002340A6" w:rsidRPr="00AB1C80" w:rsidRDefault="002340A6" w:rsidP="00AB1C80">
            <w:pPr>
              <w:spacing w:line="276" w:lineRule="auto"/>
              <w:jc w:val="center"/>
              <w:rPr>
                <w:rFonts w:eastAsia="Times New Roman" w:cs="Arial"/>
                <w:color w:val="202124"/>
                <w:sz w:val="20"/>
                <w:szCs w:val="20"/>
                <w:lang w:eastAsia="es-CO"/>
              </w:rPr>
            </w:pPr>
            <w:r w:rsidRPr="00AB1C80">
              <w:rPr>
                <w:rFonts w:eastAsia="Times New Roman" w:cs="Arial"/>
                <w:color w:val="202124"/>
                <w:sz w:val="20"/>
                <w:szCs w:val="20"/>
                <w:lang w:eastAsia="es-CO"/>
              </w:rPr>
              <w:t>Consultoría e Ingeniería de Eco Eficiencia Ltd. en Colaboración Con Wefalck, Pöyry Finland Oy, Botond Kertész &amp; CRS Ingeniería.</w:t>
            </w:r>
          </w:p>
        </w:tc>
        <w:tc>
          <w:tcPr>
            <w:tcW w:w="1276" w:type="dxa"/>
            <w:tcBorders>
              <w:top w:val="nil"/>
              <w:left w:val="nil"/>
              <w:bottom w:val="single" w:sz="4" w:space="0" w:color="auto"/>
              <w:right w:val="single" w:sz="4" w:space="0" w:color="auto"/>
            </w:tcBorders>
            <w:shd w:val="clear" w:color="auto" w:fill="auto"/>
            <w:vAlign w:val="center"/>
            <w:hideMark/>
          </w:tcPr>
          <w:p w14:paraId="5A7FED85" w14:textId="77777777" w:rsidR="002340A6" w:rsidRPr="00AB1C80" w:rsidRDefault="002340A6"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6946" w:type="dxa"/>
            <w:tcBorders>
              <w:top w:val="nil"/>
              <w:left w:val="nil"/>
              <w:bottom w:val="single" w:sz="4" w:space="0" w:color="auto"/>
              <w:right w:val="single" w:sz="4" w:space="0" w:color="auto"/>
            </w:tcBorders>
            <w:shd w:val="clear" w:color="auto" w:fill="auto"/>
            <w:vAlign w:val="center"/>
            <w:hideMark/>
          </w:tcPr>
          <w:p w14:paraId="78C7E499" w14:textId="77777777" w:rsidR="002340A6" w:rsidRPr="00AB1C80" w:rsidRDefault="002340A6" w:rsidP="00AE4D25">
            <w:pPr>
              <w:spacing w:line="276" w:lineRule="auto"/>
              <w:rPr>
                <w:rFonts w:eastAsia="Times New Roman" w:cs="Arial"/>
                <w:sz w:val="20"/>
                <w:szCs w:val="20"/>
                <w:lang w:eastAsia="es-CO"/>
              </w:rPr>
            </w:pPr>
            <w:r w:rsidRPr="00AB1C80">
              <w:rPr>
                <w:rFonts w:eastAsia="Times New Roman" w:cs="Arial"/>
                <w:sz w:val="20"/>
                <w:szCs w:val="20"/>
                <w:lang w:eastAsia="es-CO"/>
              </w:rPr>
              <w:t>Los objetivos de la gestión de residuos en economía circular son</w:t>
            </w:r>
            <w:r w:rsidRPr="00AB1C80">
              <w:rPr>
                <w:rFonts w:eastAsia="Times New Roman" w:cs="Arial"/>
                <w:sz w:val="20"/>
                <w:szCs w:val="20"/>
                <w:lang w:eastAsia="es-CO"/>
              </w:rPr>
              <w:br/>
              <w:t>Protección a la salud y seguridad pública</w:t>
            </w:r>
            <w:r w:rsidRPr="00AB1C80">
              <w:rPr>
                <w:rFonts w:eastAsia="Times New Roman" w:cs="Arial"/>
                <w:sz w:val="20"/>
                <w:szCs w:val="20"/>
                <w:lang w:eastAsia="es-CO"/>
              </w:rPr>
              <w:br/>
              <w:t>Mitigación de impactos ambientales negativos</w:t>
            </w:r>
            <w:r w:rsidRPr="00AB1C80">
              <w:rPr>
                <w:rFonts w:eastAsia="Times New Roman" w:cs="Arial"/>
                <w:sz w:val="20"/>
                <w:szCs w:val="20"/>
                <w:lang w:eastAsia="es-CO"/>
              </w:rPr>
              <w:br/>
              <w:t>Procedimientos seguros después del cierre</w:t>
            </w:r>
            <w:r w:rsidRPr="00AB1C80">
              <w:rPr>
                <w:rFonts w:eastAsia="Times New Roman" w:cs="Arial"/>
                <w:sz w:val="20"/>
                <w:szCs w:val="20"/>
                <w:lang w:eastAsia="es-CO"/>
              </w:rPr>
              <w:br/>
              <w:t>El documento se centra en garantizar la seguridad, la salud, la estabilidad geotécnica, ambiental y humana en el corto plazo y en el cierre.</w:t>
            </w:r>
            <w:r w:rsidRPr="00AB1C80">
              <w:rPr>
                <w:rFonts w:eastAsia="Times New Roman" w:cs="Arial"/>
                <w:sz w:val="20"/>
                <w:szCs w:val="20"/>
                <w:lang w:eastAsia="es-CO"/>
              </w:rPr>
              <w:br/>
              <w:t>Se debe establecer procedimientos de seguimiento posteriores al cierre.</w:t>
            </w:r>
            <w:r w:rsidRPr="00AB1C80">
              <w:rPr>
                <w:rFonts w:eastAsia="Times New Roman" w:cs="Arial"/>
                <w:sz w:val="20"/>
                <w:szCs w:val="20"/>
                <w:lang w:eastAsia="es-CO"/>
              </w:rPr>
              <w:br/>
              <w:t>Se debe incluir la identificación, el análisis, la evaluación y la mitigación de los riesgos.  Esto impulso a la gestión de los residuos</w:t>
            </w:r>
            <w:r w:rsidRPr="00AB1C80">
              <w:rPr>
                <w:rFonts w:eastAsia="Times New Roman" w:cs="Arial"/>
                <w:sz w:val="20"/>
                <w:szCs w:val="20"/>
                <w:lang w:eastAsia="es-CO"/>
              </w:rPr>
              <w:br/>
              <w:t>La decisión de declarar residuo los materiales extraídos y proceder a su eliminación se toma cuando no se encuentra un uso beneficioso para los residuos y esto depende del contexto económico del momento.</w:t>
            </w:r>
            <w:r w:rsidRPr="00AB1C80">
              <w:rPr>
                <w:rFonts w:eastAsia="Times New Roman" w:cs="Arial"/>
                <w:sz w:val="20"/>
                <w:szCs w:val="20"/>
                <w:lang w:eastAsia="es-CO"/>
              </w:rPr>
              <w:br/>
              <w:t>Se debe presentar:</w:t>
            </w:r>
            <w:r w:rsidRPr="00AB1C80">
              <w:rPr>
                <w:rFonts w:eastAsia="Times New Roman" w:cs="Arial"/>
                <w:sz w:val="20"/>
                <w:szCs w:val="20"/>
                <w:lang w:eastAsia="es-CO"/>
              </w:rPr>
              <w:br/>
              <w:t>Descripción de la operación que genera estériles</w:t>
            </w:r>
            <w:r w:rsidRPr="00AB1C80">
              <w:rPr>
                <w:rFonts w:eastAsia="Times New Roman" w:cs="Arial"/>
                <w:sz w:val="20"/>
                <w:szCs w:val="20"/>
                <w:lang w:eastAsia="es-CO"/>
              </w:rPr>
              <w:br/>
              <w:t>Características de los estériles</w:t>
            </w:r>
            <w:r w:rsidRPr="00AB1C80">
              <w:rPr>
                <w:rFonts w:eastAsia="Times New Roman" w:cs="Arial"/>
                <w:sz w:val="20"/>
                <w:szCs w:val="20"/>
                <w:lang w:eastAsia="es-CO"/>
              </w:rPr>
              <w:br/>
              <w:t>Cantidad de estériles generados</w:t>
            </w:r>
            <w:r w:rsidRPr="00AB1C80">
              <w:rPr>
                <w:rFonts w:eastAsia="Times New Roman" w:cs="Arial"/>
                <w:sz w:val="20"/>
                <w:szCs w:val="20"/>
                <w:lang w:eastAsia="es-CO"/>
              </w:rPr>
              <w:br/>
              <w:t>Clasificación propuesta para disposición</w:t>
            </w:r>
            <w:r w:rsidRPr="00AB1C80">
              <w:rPr>
                <w:rFonts w:eastAsia="Times New Roman" w:cs="Arial"/>
                <w:sz w:val="20"/>
                <w:szCs w:val="20"/>
                <w:lang w:eastAsia="es-CO"/>
              </w:rPr>
              <w:br/>
            </w:r>
            <w:r w:rsidRPr="00AB1C80">
              <w:rPr>
                <w:rFonts w:eastAsia="Times New Roman" w:cs="Arial"/>
                <w:sz w:val="20"/>
                <w:szCs w:val="20"/>
                <w:lang w:eastAsia="es-CO"/>
              </w:rPr>
              <w:br/>
              <w:t xml:space="preserve">Para tener en cuenta, los estériles pueden ser aprovechables incluso después del cierre cuando el mercado y las tecnologías así lo permitan.  En ese caso, se debe tener cuidado si los estériles son utilizados para retrollenado en labores subterráneas.  Luego será muy difícil recuperarlos. En ese caso, es importante descartar desde el diseño que los estériles pueden ser reutilizados. Cuando los estériles contengan material radiactivo, se deben </w:t>
            </w:r>
            <w:r w:rsidRPr="00AB1C80">
              <w:rPr>
                <w:rFonts w:eastAsia="Times New Roman" w:cs="Arial"/>
                <w:sz w:val="20"/>
                <w:szCs w:val="20"/>
                <w:lang w:eastAsia="es-CO"/>
              </w:rPr>
              <w:lastRenderedPageBreak/>
              <w:t>seguir otras normas porque sus efectos no son plenamente conocidos. También existen valores máximos permisibles de radiactividad con los cuales se puede comparar los resultados obtenidos de los análisis a los estériles con posible emisión de radiaciones. Valores límites tanto ambientales como ocupacionales.</w:t>
            </w:r>
          </w:p>
        </w:tc>
      </w:tr>
    </w:tbl>
    <w:p w14:paraId="6F51969B" w14:textId="36E5BB0C" w:rsidR="00893FE9" w:rsidRPr="00AB1C80" w:rsidRDefault="00893FE9" w:rsidP="00AB1C80">
      <w:pPr>
        <w:pStyle w:val="Fuente"/>
        <w:spacing w:line="276" w:lineRule="auto"/>
        <w:rPr>
          <w:rFonts w:cs="Arial"/>
          <w:lang w:val="es-CO"/>
        </w:rPr>
      </w:pPr>
      <w:r w:rsidRPr="00AB1C80">
        <w:rPr>
          <w:rFonts w:cs="Arial"/>
          <w:lang w:val="es-CO"/>
        </w:rPr>
        <w:lastRenderedPageBreak/>
        <w:t>Fuente: ATG Ltda., 2021.</w:t>
      </w:r>
    </w:p>
    <w:p w14:paraId="264592CD" w14:textId="561D9B56" w:rsidR="00893FE9" w:rsidRPr="00AB1C80" w:rsidRDefault="00893FE9" w:rsidP="00AB1C80">
      <w:pPr>
        <w:pStyle w:val="Fuente"/>
        <w:spacing w:line="276" w:lineRule="auto"/>
        <w:rPr>
          <w:rFonts w:cs="Arial"/>
          <w:lang w:val="es-CO"/>
        </w:rPr>
      </w:pPr>
    </w:p>
    <w:p w14:paraId="1D8E449E" w14:textId="673C7C00" w:rsidR="00893FE9" w:rsidRPr="00AB1C80" w:rsidRDefault="00893FE9" w:rsidP="00AB1C80">
      <w:pPr>
        <w:pStyle w:val="Descripcin"/>
        <w:spacing w:line="276" w:lineRule="auto"/>
        <w:rPr>
          <w:rFonts w:cs="Arial"/>
          <w:lang w:val="es-CO"/>
        </w:rPr>
      </w:pPr>
      <w:bookmarkStart w:id="75" w:name="_Ref86249948"/>
      <w:bookmarkStart w:id="76" w:name="_Toc86333021"/>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16</w:t>
      </w:r>
      <w:r w:rsidRPr="00AB1C80">
        <w:rPr>
          <w:rFonts w:cs="Arial"/>
          <w:lang w:val="es-CO"/>
        </w:rPr>
        <w:fldChar w:fldCharType="end"/>
      </w:r>
      <w:bookmarkEnd w:id="75"/>
      <w:r w:rsidRPr="00AB1C80">
        <w:rPr>
          <w:rFonts w:cs="Arial"/>
          <w:lang w:val="es-CO"/>
        </w:rPr>
        <w:t>. Revisión de información internacional por tesis para la gestión y manejo de estériles.</w:t>
      </w:r>
      <w:bookmarkEnd w:id="76"/>
    </w:p>
    <w:tbl>
      <w:tblPr>
        <w:tblW w:w="14885" w:type="dxa"/>
        <w:tblInd w:w="-998" w:type="dxa"/>
        <w:tblCellMar>
          <w:left w:w="70" w:type="dxa"/>
          <w:right w:w="70" w:type="dxa"/>
        </w:tblCellMar>
        <w:tblLook w:val="04A0" w:firstRow="1" w:lastRow="0" w:firstColumn="1" w:lastColumn="0" w:noHBand="0" w:noVBand="1"/>
      </w:tblPr>
      <w:tblGrid>
        <w:gridCol w:w="1135"/>
        <w:gridCol w:w="1701"/>
        <w:gridCol w:w="3827"/>
        <w:gridCol w:w="1276"/>
        <w:gridCol w:w="6946"/>
      </w:tblGrid>
      <w:tr w:rsidR="00702F50" w:rsidRPr="00AB1C80" w14:paraId="5E5C0756" w14:textId="77777777" w:rsidTr="00702F50">
        <w:trPr>
          <w:trHeight w:val="20"/>
        </w:trPr>
        <w:tc>
          <w:tcPr>
            <w:tcW w:w="1135"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2362CEC8" w14:textId="77777777" w:rsidR="00702F50" w:rsidRPr="00AB1C80" w:rsidRDefault="00702F50"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 xml:space="preserve">País </w:t>
            </w:r>
          </w:p>
        </w:tc>
        <w:tc>
          <w:tcPr>
            <w:tcW w:w="1701" w:type="dxa"/>
            <w:tcBorders>
              <w:top w:val="single" w:sz="4" w:space="0" w:color="auto"/>
              <w:left w:val="nil"/>
              <w:bottom w:val="single" w:sz="4" w:space="0" w:color="auto"/>
              <w:right w:val="single" w:sz="4" w:space="0" w:color="auto"/>
            </w:tcBorders>
            <w:shd w:val="clear" w:color="1E345C" w:fill="1E345C"/>
            <w:vAlign w:val="center"/>
            <w:hideMark/>
          </w:tcPr>
          <w:p w14:paraId="20A3A2CE" w14:textId="77777777" w:rsidR="00702F50" w:rsidRPr="00AB1C80" w:rsidRDefault="00702F50"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Nombre del Documento</w:t>
            </w:r>
          </w:p>
        </w:tc>
        <w:tc>
          <w:tcPr>
            <w:tcW w:w="3827" w:type="dxa"/>
            <w:tcBorders>
              <w:top w:val="single" w:sz="4" w:space="0" w:color="auto"/>
              <w:left w:val="nil"/>
              <w:bottom w:val="single" w:sz="4" w:space="0" w:color="auto"/>
              <w:right w:val="single" w:sz="4" w:space="0" w:color="auto"/>
            </w:tcBorders>
            <w:shd w:val="clear" w:color="1E345C" w:fill="1E345C"/>
            <w:vAlign w:val="center"/>
            <w:hideMark/>
          </w:tcPr>
          <w:p w14:paraId="40A96BA3" w14:textId="77777777" w:rsidR="00702F50" w:rsidRPr="00AB1C80" w:rsidRDefault="00702F50"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Autor(es)</w:t>
            </w:r>
          </w:p>
        </w:tc>
        <w:tc>
          <w:tcPr>
            <w:tcW w:w="1276" w:type="dxa"/>
            <w:tcBorders>
              <w:top w:val="single" w:sz="4" w:space="0" w:color="auto"/>
              <w:left w:val="nil"/>
              <w:bottom w:val="single" w:sz="4" w:space="0" w:color="auto"/>
              <w:right w:val="single" w:sz="4" w:space="0" w:color="auto"/>
            </w:tcBorders>
            <w:shd w:val="clear" w:color="1E345C" w:fill="1E345C"/>
            <w:vAlign w:val="center"/>
            <w:hideMark/>
          </w:tcPr>
          <w:p w14:paraId="3E932BE6" w14:textId="77777777" w:rsidR="00702F50" w:rsidRPr="00AB1C80" w:rsidRDefault="00702F50"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Año de Publicación</w:t>
            </w:r>
          </w:p>
        </w:tc>
        <w:tc>
          <w:tcPr>
            <w:tcW w:w="6946" w:type="dxa"/>
            <w:tcBorders>
              <w:top w:val="single" w:sz="4" w:space="0" w:color="auto"/>
              <w:left w:val="nil"/>
              <w:bottom w:val="single" w:sz="4" w:space="0" w:color="auto"/>
              <w:right w:val="single" w:sz="4" w:space="0" w:color="auto"/>
            </w:tcBorders>
            <w:shd w:val="clear" w:color="1E345C" w:fill="1E345C"/>
            <w:vAlign w:val="center"/>
            <w:hideMark/>
          </w:tcPr>
          <w:p w14:paraId="2F07EEAC" w14:textId="77777777" w:rsidR="00702F50" w:rsidRPr="00AB1C80" w:rsidRDefault="00702F50" w:rsidP="00AB1C80">
            <w:pPr>
              <w:spacing w:line="276" w:lineRule="auto"/>
              <w:jc w:val="center"/>
              <w:rPr>
                <w:rFonts w:eastAsia="Times New Roman" w:cs="Arial"/>
                <w:b/>
                <w:bCs/>
                <w:color w:val="FFFFFF"/>
                <w:sz w:val="20"/>
                <w:szCs w:val="20"/>
                <w:lang w:eastAsia="es-CO"/>
              </w:rPr>
            </w:pPr>
            <w:r w:rsidRPr="00AB1C80">
              <w:rPr>
                <w:rFonts w:eastAsia="Times New Roman" w:cs="Arial"/>
                <w:b/>
                <w:bCs/>
                <w:color w:val="FFFFFF"/>
                <w:sz w:val="20"/>
                <w:szCs w:val="20"/>
                <w:lang w:eastAsia="es-CO"/>
              </w:rPr>
              <w:t>Análisis, critica e interpretación</w:t>
            </w:r>
          </w:p>
        </w:tc>
      </w:tr>
      <w:tr w:rsidR="00702F50" w:rsidRPr="00AB1C80" w14:paraId="49DD8776" w14:textId="77777777" w:rsidTr="00702F50">
        <w:trPr>
          <w:trHeight w:val="20"/>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0B9259B1" w14:textId="77777777" w:rsidR="00702F50" w:rsidRPr="00AB1C80" w:rsidRDefault="00702F5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España</w:t>
            </w:r>
          </w:p>
        </w:tc>
        <w:tc>
          <w:tcPr>
            <w:tcW w:w="1701" w:type="dxa"/>
            <w:tcBorders>
              <w:top w:val="nil"/>
              <w:left w:val="nil"/>
              <w:bottom w:val="single" w:sz="4" w:space="0" w:color="auto"/>
              <w:right w:val="single" w:sz="4" w:space="0" w:color="auto"/>
            </w:tcBorders>
            <w:shd w:val="clear" w:color="auto" w:fill="auto"/>
            <w:vAlign w:val="center"/>
            <w:hideMark/>
          </w:tcPr>
          <w:p w14:paraId="0887A0EA" w14:textId="77777777" w:rsidR="00702F50" w:rsidRPr="00AB1C80" w:rsidRDefault="00702F5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Inventario de Balsas y Escombreras Mineras</w:t>
            </w:r>
          </w:p>
        </w:tc>
        <w:tc>
          <w:tcPr>
            <w:tcW w:w="3827" w:type="dxa"/>
            <w:tcBorders>
              <w:top w:val="nil"/>
              <w:left w:val="nil"/>
              <w:bottom w:val="single" w:sz="4" w:space="0" w:color="auto"/>
              <w:right w:val="single" w:sz="4" w:space="0" w:color="auto"/>
            </w:tcBorders>
            <w:shd w:val="clear" w:color="auto" w:fill="auto"/>
            <w:vAlign w:val="center"/>
            <w:hideMark/>
          </w:tcPr>
          <w:p w14:paraId="5634DAAB" w14:textId="77777777" w:rsidR="00702F50" w:rsidRPr="00AB1C80" w:rsidRDefault="00702F5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IGME - Instituto Geológico y Minero de España</w:t>
            </w:r>
          </w:p>
        </w:tc>
        <w:tc>
          <w:tcPr>
            <w:tcW w:w="1276" w:type="dxa"/>
            <w:tcBorders>
              <w:top w:val="nil"/>
              <w:left w:val="nil"/>
              <w:bottom w:val="single" w:sz="4" w:space="0" w:color="auto"/>
              <w:right w:val="single" w:sz="4" w:space="0" w:color="auto"/>
            </w:tcBorders>
            <w:shd w:val="clear" w:color="auto" w:fill="auto"/>
            <w:vAlign w:val="center"/>
            <w:hideMark/>
          </w:tcPr>
          <w:p w14:paraId="44B5ABA9" w14:textId="77777777" w:rsidR="00702F50" w:rsidRPr="00AB1C80" w:rsidRDefault="00702F5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1972</w:t>
            </w:r>
          </w:p>
        </w:tc>
        <w:tc>
          <w:tcPr>
            <w:tcW w:w="6946" w:type="dxa"/>
            <w:tcBorders>
              <w:top w:val="nil"/>
              <w:left w:val="nil"/>
              <w:bottom w:val="single" w:sz="4" w:space="0" w:color="auto"/>
              <w:right w:val="single" w:sz="4" w:space="0" w:color="auto"/>
            </w:tcBorders>
            <w:shd w:val="clear" w:color="auto" w:fill="auto"/>
            <w:vAlign w:val="center"/>
            <w:hideMark/>
          </w:tcPr>
          <w:p w14:paraId="08874E8F" w14:textId="44EA338F" w:rsidR="00702F50" w:rsidRPr="00AB1C80" w:rsidRDefault="00702F50" w:rsidP="00AE4D25">
            <w:pPr>
              <w:spacing w:line="276" w:lineRule="auto"/>
              <w:rPr>
                <w:rFonts w:eastAsia="Times New Roman" w:cs="Arial"/>
                <w:sz w:val="20"/>
                <w:szCs w:val="20"/>
                <w:lang w:eastAsia="es-CO"/>
              </w:rPr>
            </w:pPr>
            <w:r w:rsidRPr="00AB1C80">
              <w:rPr>
                <w:rFonts w:eastAsia="Times New Roman" w:cs="Arial"/>
                <w:sz w:val="20"/>
                <w:szCs w:val="20"/>
                <w:lang w:eastAsia="es-CO"/>
              </w:rPr>
              <w:t>El estudio propone los siguientes pasos para determinar la viabilidad de una escombrera:</w:t>
            </w:r>
            <w:r w:rsidRPr="00AB1C80">
              <w:rPr>
                <w:rFonts w:eastAsia="Times New Roman" w:cs="Arial"/>
                <w:sz w:val="20"/>
                <w:szCs w:val="20"/>
                <w:lang w:eastAsia="es-CO"/>
              </w:rPr>
              <w:br/>
            </w:r>
            <w:r w:rsidRPr="00AB1C80">
              <w:rPr>
                <w:rFonts w:eastAsia="Times New Roman" w:cs="Arial"/>
                <w:sz w:val="20"/>
                <w:szCs w:val="20"/>
                <w:lang w:eastAsia="es-CO"/>
              </w:rPr>
              <w:br/>
              <w:t>• Elección del lugar, modo de vertido, disposición de residuos.</w:t>
            </w:r>
            <w:r w:rsidRPr="00AB1C80">
              <w:rPr>
                <w:rFonts w:eastAsia="Times New Roman" w:cs="Arial"/>
                <w:sz w:val="20"/>
                <w:szCs w:val="20"/>
                <w:lang w:eastAsia="es-CO"/>
              </w:rPr>
              <w:br/>
              <w:t>• Se requiere estudiar previamente la zona (geología, geomorfología, geotecnia) y controlar racionalmente el proceso de vertido porque de aquí depende la economía hasta en el mediano plazo, es decir, que no se presenten eventos no deseados.  De esta manera, ya en el largo plazo se ve la estabilidad y el ahorro, dada la inversión o gasto que se ejecutó durante el diseño y la explotación (construcción de la escombrera).</w:t>
            </w:r>
            <w:r w:rsidRPr="00AB1C80">
              <w:rPr>
                <w:rFonts w:eastAsia="Times New Roman" w:cs="Arial"/>
                <w:sz w:val="20"/>
                <w:szCs w:val="20"/>
                <w:lang w:eastAsia="es-CO"/>
              </w:rPr>
              <w:br/>
              <w:t>• Ejecutar actividades de compactación, sistemas de drenaje, disposición ordenada de los estériles, estudio detallado de estabilidad.  Todo lo anterior tiene repercusión en la seguridad, en la eficacia de la escombrera, en la capacidad de almacenamiento y al final, ahorros en esfuerzos y costos.</w:t>
            </w:r>
            <w:r w:rsidRPr="00AB1C80">
              <w:rPr>
                <w:rFonts w:eastAsia="Times New Roman" w:cs="Arial"/>
                <w:sz w:val="20"/>
                <w:szCs w:val="20"/>
                <w:lang w:eastAsia="es-CO"/>
              </w:rPr>
              <w:br/>
              <w:t>• Establecer medidas de control tanto en el medio geográfico y geológico en donde se establece la escombrera, el tipo de material vertido, la naturaleza y estructura del substrato, disposición, dimensiones, grado de sismicidad.</w:t>
            </w:r>
          </w:p>
        </w:tc>
      </w:tr>
    </w:tbl>
    <w:p w14:paraId="36FE45AE" w14:textId="1C647C0F" w:rsidR="005D5190" w:rsidRPr="00AB1C80" w:rsidRDefault="00893FE9" w:rsidP="00AB1C80">
      <w:pPr>
        <w:pStyle w:val="Fuente"/>
        <w:spacing w:line="276" w:lineRule="auto"/>
        <w:rPr>
          <w:rFonts w:cs="Arial"/>
          <w:lang w:val="es-CO"/>
        </w:rPr>
      </w:pPr>
      <w:r w:rsidRPr="00AB1C80">
        <w:rPr>
          <w:rFonts w:cs="Arial"/>
          <w:lang w:val="es-CO"/>
        </w:rPr>
        <w:t>Fuente: ATG Ltda., 2021.</w:t>
      </w:r>
    </w:p>
    <w:p w14:paraId="13ABFF7B" w14:textId="77777777" w:rsidR="005D5190" w:rsidRPr="00AB1C80" w:rsidRDefault="005D5190" w:rsidP="00AB1C80">
      <w:pPr>
        <w:spacing w:line="276" w:lineRule="auto"/>
        <w:rPr>
          <w:rFonts w:cs="Arial"/>
          <w:color w:val="000000" w:themeColor="text1"/>
        </w:rPr>
        <w:sectPr w:rsidR="005D5190" w:rsidRPr="00AB1C80" w:rsidSect="005D5190">
          <w:pgSz w:w="15840" w:h="12240" w:orient="landscape"/>
          <w:pgMar w:top="1701" w:right="1418" w:bottom="1701" w:left="1418" w:header="709" w:footer="709" w:gutter="0"/>
          <w:cols w:space="708"/>
          <w:docGrid w:linePitch="360"/>
        </w:sectPr>
      </w:pPr>
    </w:p>
    <w:p w14:paraId="59E71BCF" w14:textId="77777777" w:rsidR="00F151C7" w:rsidRPr="00AB1C80" w:rsidRDefault="00F151C7" w:rsidP="00AB1C80">
      <w:pPr>
        <w:pStyle w:val="Ttulo4"/>
        <w:spacing w:line="276" w:lineRule="auto"/>
        <w:rPr>
          <w:rFonts w:ascii="Arial" w:hAnsi="Arial"/>
        </w:rPr>
      </w:pPr>
      <w:bookmarkStart w:id="77" w:name="_Toc86332927"/>
      <w:r w:rsidRPr="00AB1C80">
        <w:rPr>
          <w:rFonts w:ascii="Arial" w:hAnsi="Arial"/>
        </w:rPr>
        <w:lastRenderedPageBreak/>
        <w:t>Análisis de la temática</w:t>
      </w:r>
      <w:bookmarkEnd w:id="77"/>
      <w:r w:rsidRPr="00AB1C80">
        <w:rPr>
          <w:rFonts w:ascii="Arial" w:hAnsi="Arial"/>
        </w:rPr>
        <w:t xml:space="preserve"> </w:t>
      </w:r>
    </w:p>
    <w:p w14:paraId="1222C44C" w14:textId="4245537C" w:rsidR="00F151C7" w:rsidRPr="00AB1C80" w:rsidRDefault="00F151C7" w:rsidP="00AB1C80">
      <w:pPr>
        <w:spacing w:line="276" w:lineRule="auto"/>
        <w:rPr>
          <w:rFonts w:cs="Arial"/>
        </w:rPr>
      </w:pPr>
    </w:p>
    <w:p w14:paraId="2667DB73" w14:textId="21127FAA" w:rsidR="00A94243" w:rsidRPr="00AB1C80" w:rsidRDefault="00A94243" w:rsidP="00AB1C80">
      <w:pPr>
        <w:spacing w:line="276" w:lineRule="auto"/>
        <w:rPr>
          <w:rFonts w:cs="Arial"/>
          <w:lang w:eastAsia="es-CO"/>
        </w:rPr>
      </w:pPr>
      <w:r w:rsidRPr="00AB1C80">
        <w:rPr>
          <w:rFonts w:cs="Arial"/>
        </w:rPr>
        <w:t xml:space="preserve">La gestión y manejo del material estéril generado en la actividad minera es un tema que ha tomado con el paso del tiempo mayor relevancia y visibilización en el sector minero internacional debido a la necesidad de aprovechamiento de los recursos y la minimización de los riesgos sociales y ambientales en la actividad minera. Una muestra de ello es lo expresado por Jarvis A.P que presenta esta problemática en su artículo </w:t>
      </w:r>
      <w:r w:rsidRPr="00AB1C80">
        <w:rPr>
          <w:rFonts w:cs="Arial"/>
          <w:i/>
        </w:rPr>
        <w:t>“Desarrollos y desafíos en el manejo de residuos mineros y aguas en Europa</w:t>
      </w:r>
      <w:r w:rsidRPr="00AB1C80">
        <w:rPr>
          <w:rFonts w:cs="Arial"/>
        </w:rPr>
        <w:t xml:space="preserve">” en donde se aborda cómo los residuos mineros abandonados, están directamente asociados a la formación de drenaje ácido de mina y liberación de metales que contaminan fuentes hídricas superficiales, subterráneas y suelos. Asimismo, la estabilidad física y química de las escombreras o botaderos se convierte en un factor determinante a la hora de viabilizar un proyecto minero y el manejo de estériles propuesto. Por lo anterior ha sido necesario la formulación de políticas, directrices e iniciativas enfocadas a la gestión de desechos mineros y las aguas provenientes de la operación. Por otro lado, como lo indican </w:t>
      </w:r>
      <w:r w:rsidRPr="00AB1C80">
        <w:rPr>
          <w:rFonts w:cs="Arial"/>
          <w:lang w:eastAsia="es-CO"/>
        </w:rPr>
        <w:t>los autores G. Bellenfant, AG Guezennec, F. Bodenan, P y D'Hugues, D. Cassard en su artículo “</w:t>
      </w:r>
      <w:r w:rsidRPr="00AB1C80">
        <w:rPr>
          <w:rFonts w:cs="Arial"/>
          <w:i/>
          <w:lang w:eastAsia="es-CO"/>
        </w:rPr>
        <w:t>Análisis del aprovechamiento de los depósitos de desechos antiguos relacionados con actividades mineras y metalúrgica (2013)”</w:t>
      </w:r>
      <w:r w:rsidRPr="00AB1C80">
        <w:rPr>
          <w:rFonts w:cs="Arial"/>
          <w:lang w:eastAsia="es-CO"/>
        </w:rPr>
        <w:t xml:space="preserve"> muchos botaderos y escombreras abandonadas cuentan con un potencial valioso e inexplorado de mineral aprovechable, que con la aplicación de nuevas tecnologías, metodologías y procesos desarrollados permitiría la recuperación del mineral, por ejemplo mediante el separador de gravedad múltiple utilizado para separar los desechos de la minería de plomo-zinc. </w:t>
      </w:r>
    </w:p>
    <w:p w14:paraId="049CEBF2" w14:textId="77777777" w:rsidR="00A94243" w:rsidRPr="00AB1C80" w:rsidRDefault="00A94243" w:rsidP="00AB1C80">
      <w:pPr>
        <w:spacing w:line="276" w:lineRule="auto"/>
        <w:rPr>
          <w:rFonts w:cs="Arial"/>
          <w:lang w:eastAsia="es-CO"/>
        </w:rPr>
      </w:pPr>
    </w:p>
    <w:p w14:paraId="795A9241" w14:textId="13D1A026" w:rsidR="00A94243" w:rsidRPr="00AB1C80" w:rsidRDefault="00A94243" w:rsidP="00AB1C80">
      <w:pPr>
        <w:spacing w:line="276" w:lineRule="auto"/>
        <w:rPr>
          <w:rFonts w:cs="Arial"/>
          <w:lang w:eastAsia="es-CO"/>
        </w:rPr>
      </w:pPr>
      <w:r w:rsidRPr="00AB1C80">
        <w:rPr>
          <w:rFonts w:cs="Arial"/>
          <w:lang w:eastAsia="es-CO"/>
        </w:rPr>
        <w:t xml:space="preserve">Este enfoque asociado al aprovechamiento del material ha tomado relevancia en Europa, por lo cual en el año 2019 la Comisión Europea en conjunto con la consultora </w:t>
      </w:r>
      <w:r w:rsidR="00A54D0A" w:rsidRPr="00AB1C80">
        <w:rPr>
          <w:rFonts w:cs="Arial"/>
          <w:lang w:eastAsia="es-CO"/>
        </w:rPr>
        <w:t>Ecoeficiencia</w:t>
      </w:r>
      <w:r w:rsidRPr="00AB1C80">
        <w:rPr>
          <w:rFonts w:cs="Arial"/>
          <w:lang w:eastAsia="es-CO"/>
        </w:rPr>
        <w:t xml:space="preserve"> Ltd. presentó el reporte final respecto a las “</w:t>
      </w:r>
      <w:r w:rsidRPr="00AB1C80">
        <w:rPr>
          <w:rFonts w:cs="Arial"/>
          <w:i/>
          <w:iCs/>
          <w:lang w:eastAsia="es-CO"/>
        </w:rPr>
        <w:t xml:space="preserve">Mejores prácticas en los planes de gestión de residuos extractivos” </w:t>
      </w:r>
      <w:r w:rsidRPr="00AB1C80">
        <w:rPr>
          <w:rFonts w:cs="Arial"/>
          <w:lang w:eastAsia="es-CO"/>
        </w:rPr>
        <w:t>proporcionando orientaciones, procedimientos y medidas encaminadas a prevenir y reducir los efectos sobre el medio ambiente y los riesgos resultantes para la salud humana derivados del manejo de residuos extractivos. En este estudio se presentaron dos objetivos: El primero encaminado a lograr el desarrollo de procesos de Economía Circular en la actividad minera; y el segundo, enfocado a garantizar la seguridad en el manejo y gestión de los residuos mineros a lo largo de todo el ciclo de vida del proyecto, dentro del marco de la gestión y mitigación del riesgo, análisis y evaluación de condiciones naturales e identificación de oportunidades económicas teniendo en cuenta la gestión del cambio.</w:t>
      </w:r>
    </w:p>
    <w:p w14:paraId="0CECFB65" w14:textId="77777777" w:rsidR="00A94243" w:rsidRPr="00AB1C80" w:rsidRDefault="00A94243" w:rsidP="00AB1C80">
      <w:pPr>
        <w:spacing w:line="276" w:lineRule="auto"/>
        <w:rPr>
          <w:rFonts w:eastAsia="Times New Roman" w:cs="Arial"/>
          <w:szCs w:val="24"/>
          <w:lang w:eastAsia="es-CO"/>
        </w:rPr>
      </w:pPr>
    </w:p>
    <w:p w14:paraId="22A9D2C2" w14:textId="13144D7A" w:rsidR="00A94243" w:rsidRPr="00AB1C80" w:rsidRDefault="00A94243" w:rsidP="00AB1C80">
      <w:pPr>
        <w:spacing w:line="276" w:lineRule="auto"/>
        <w:rPr>
          <w:rFonts w:cs="Arial"/>
          <w:lang w:eastAsia="es-CO"/>
        </w:rPr>
      </w:pPr>
      <w:r w:rsidRPr="00AB1C80">
        <w:rPr>
          <w:rFonts w:cs="Arial"/>
          <w:lang w:eastAsia="es-CO"/>
        </w:rPr>
        <w:lastRenderedPageBreak/>
        <w:t>Los países que conforman la Unión Europea han unido esfuerzos y desde el año 2012 se establecieron las directrices para la inspección de instalaciones de residuos mineros</w:t>
      </w:r>
      <w:r w:rsidRPr="00AB1C80">
        <w:rPr>
          <w:rFonts w:cs="Arial"/>
        </w:rPr>
        <w:t xml:space="preserve"> </w:t>
      </w:r>
      <w:r w:rsidRPr="00AB1C80">
        <w:rPr>
          <w:rFonts w:cs="Arial"/>
          <w:lang w:eastAsia="es-CO"/>
        </w:rPr>
        <w:t>(escombreras, relaveras, pilas, etc.) con base en la compilación del inventario de botaderos de estériles en los países miembros. Las directrices son la base para que las autoridades hagan inspecciones en los proyectos mineros bajo estándares mínimos aplicables a todo tipo de escombrera, clasificadas de acuerdo con el origen de sus residuos (tipo de mineral, procesamiento y tipo de escombro o estéril generado, así como los problemas ambientales que pueden generar: lixiviación, drenaje ácido de mina - DAM, emisiones, etc.). El objetivo de esta guía es ayudar a los estados miembros de la Unión Europea y sus gobiernos a garantizar que las estrategias y planes de inspección para todos los tipos de instalaciones de desechos mineros cumplan con las mejores prácticas. </w:t>
      </w:r>
    </w:p>
    <w:p w14:paraId="7503C36C" w14:textId="77777777" w:rsidR="00A94243" w:rsidRPr="00AB1C80" w:rsidRDefault="00A94243" w:rsidP="00AB1C80">
      <w:pPr>
        <w:spacing w:line="276" w:lineRule="auto"/>
        <w:rPr>
          <w:rFonts w:cs="Arial"/>
          <w:lang w:eastAsia="es-CO"/>
        </w:rPr>
      </w:pPr>
    </w:p>
    <w:p w14:paraId="68071BCA" w14:textId="7A74FC66" w:rsidR="00A94243" w:rsidRPr="00AB1C80" w:rsidRDefault="00A94243" w:rsidP="00AB1C80">
      <w:pPr>
        <w:spacing w:line="276" w:lineRule="auto"/>
        <w:rPr>
          <w:rFonts w:cs="Arial"/>
          <w:lang w:eastAsia="es-CO"/>
        </w:rPr>
      </w:pPr>
      <w:r w:rsidRPr="00AB1C80">
        <w:rPr>
          <w:rFonts w:cs="Arial"/>
          <w:lang w:eastAsia="es-CO"/>
        </w:rPr>
        <w:t>Los países europeos han abordado el manejo del estéril minero y mejor aún, la gestión desde hace más de 50 años. Un ejemplo claro de ello es España, que ha elaborado lineamientos y directrices detalladas respecto a la gestión de las escombreras como estructuras diseñadas para el depósito de los estériles. Estas orientaciones técnicas han sido presentadas a través de normas, manuales y guías, y se han enfocado de manera relevante en el componente de estabilidad física y química de estas instalaciones mineras.</w:t>
      </w:r>
    </w:p>
    <w:p w14:paraId="6B1325A9" w14:textId="77777777" w:rsidR="00A94243" w:rsidRPr="00AB1C80" w:rsidRDefault="00A94243" w:rsidP="00AB1C80">
      <w:pPr>
        <w:spacing w:line="276" w:lineRule="auto"/>
        <w:rPr>
          <w:rFonts w:eastAsia="Times New Roman" w:cs="Arial"/>
          <w:szCs w:val="24"/>
          <w:lang w:eastAsia="es-CO"/>
        </w:rPr>
      </w:pPr>
    </w:p>
    <w:p w14:paraId="73C200E0" w14:textId="2C6CF581" w:rsidR="00A94243" w:rsidRPr="00AB1C80" w:rsidRDefault="00A94243" w:rsidP="00AB1C80">
      <w:pPr>
        <w:spacing w:line="276" w:lineRule="auto"/>
        <w:rPr>
          <w:rFonts w:cs="Arial"/>
          <w:lang w:eastAsia="es-CO"/>
        </w:rPr>
      </w:pPr>
      <w:r w:rsidRPr="00AB1C80">
        <w:rPr>
          <w:rFonts w:cs="Arial"/>
          <w:lang w:eastAsia="es-CO"/>
        </w:rPr>
        <w:t xml:space="preserve">En el año 1972 el Instituto Geológico y Minero de España – IGME publicó el estudio </w:t>
      </w:r>
      <w:r w:rsidRPr="00AB1C80">
        <w:rPr>
          <w:rFonts w:cs="Arial"/>
          <w:i/>
          <w:lang w:eastAsia="es-CO"/>
        </w:rPr>
        <w:t>“Establecimiento de normas prácticas para diseño, explotación y vigilancia de balsas y escombreras”</w:t>
      </w:r>
      <w:r w:rsidRPr="00AB1C80">
        <w:rPr>
          <w:rFonts w:cs="Arial"/>
          <w:lang w:eastAsia="es-CO"/>
        </w:rPr>
        <w:t xml:space="preserve"> en donde se presentan las bases para dar solución a problemáticas de estabilidad en los terrenos de emplazamiento de las escombreras. En esta norma se definen prácticas para el diseño, ejecución, explotación, vigilancia monitoreo y control de las escombreras mediante desarrollo de métodos de cálculo de estabilidad, teniendo en cuenta un análisis comparativo con escombreras existentes y la caracterización del material estéril; a su vez concluyen que se deben considerar características del entorno como la sismicidad del área, hidrografía, climatología, topografía, hidrogeología, entre otros. </w:t>
      </w:r>
    </w:p>
    <w:p w14:paraId="748D77DA" w14:textId="77777777" w:rsidR="00A94243" w:rsidRPr="00AB1C80" w:rsidRDefault="00A94243" w:rsidP="00AB1C80">
      <w:pPr>
        <w:spacing w:line="276" w:lineRule="auto"/>
        <w:rPr>
          <w:rFonts w:cs="Arial"/>
          <w:lang w:eastAsia="es-CO"/>
        </w:rPr>
      </w:pPr>
    </w:p>
    <w:p w14:paraId="74A8922D" w14:textId="5898AF64" w:rsidR="00A94243" w:rsidRPr="00AB1C80" w:rsidRDefault="00A94243" w:rsidP="00AB1C80">
      <w:pPr>
        <w:spacing w:line="276" w:lineRule="auto"/>
        <w:rPr>
          <w:rFonts w:cs="Arial"/>
          <w:lang w:eastAsia="es-CO"/>
        </w:rPr>
      </w:pPr>
      <w:r w:rsidRPr="00AB1C80">
        <w:rPr>
          <w:rFonts w:cs="Arial"/>
          <w:lang w:eastAsia="es-CO"/>
        </w:rPr>
        <w:t xml:space="preserve">Posteriormente en el año 1982 el Instituto </w:t>
      </w:r>
      <w:bookmarkStart w:id="78" w:name="_Hlk86069984"/>
      <w:r w:rsidRPr="00AB1C80">
        <w:rPr>
          <w:rFonts w:cs="Arial"/>
          <w:lang w:eastAsia="es-CO"/>
        </w:rPr>
        <w:t>Geológico y Minero de España – IGME en equipo con el Ministerio de Industria y Comercio de España</w:t>
      </w:r>
      <w:bookmarkEnd w:id="78"/>
      <w:r w:rsidRPr="00AB1C80">
        <w:rPr>
          <w:rFonts w:cs="Arial"/>
          <w:lang w:eastAsia="es-CO"/>
        </w:rPr>
        <w:t xml:space="preserve"> elaboraron el “</w:t>
      </w:r>
      <w:r w:rsidRPr="00AB1C80">
        <w:rPr>
          <w:rFonts w:cs="Arial"/>
          <w:i/>
          <w:iCs/>
          <w:lang w:eastAsia="es-CO"/>
        </w:rPr>
        <w:t xml:space="preserve">Manual de restauración de terrenos y evaluación de impactos ambientales en minería” </w:t>
      </w:r>
      <w:r w:rsidRPr="00AB1C80">
        <w:rPr>
          <w:rFonts w:cs="Arial"/>
          <w:lang w:eastAsia="es-CO"/>
        </w:rPr>
        <w:t xml:space="preserve">en donde se establecieron lineamientos para la evaluación de los impactos ambientales y recuperación de las áreas afectadas por el desarrollo de la actividad minera.  En 1989, el manual fue ajustado, incluyendo consideraciones técnicas detalladas para la ubicación, diseño, operación, restauración y abandono de las </w:t>
      </w:r>
      <w:r w:rsidRPr="00AB1C80">
        <w:rPr>
          <w:rFonts w:cs="Arial"/>
          <w:lang w:eastAsia="es-CO"/>
        </w:rPr>
        <w:lastRenderedPageBreak/>
        <w:t>escombreras; también se evaluaron impactos relacionados al ciclo de vida de estas estructuras.</w:t>
      </w:r>
    </w:p>
    <w:p w14:paraId="7B7EF15A" w14:textId="77777777" w:rsidR="00A94243" w:rsidRPr="00AB1C80" w:rsidRDefault="00A94243" w:rsidP="00AB1C80">
      <w:pPr>
        <w:spacing w:line="276" w:lineRule="auto"/>
        <w:rPr>
          <w:rFonts w:eastAsia="Times New Roman" w:cs="Arial"/>
          <w:szCs w:val="24"/>
          <w:lang w:eastAsia="es-CO"/>
        </w:rPr>
      </w:pPr>
    </w:p>
    <w:p w14:paraId="01FCAB7B" w14:textId="723BCEF1" w:rsidR="00A94243" w:rsidRPr="00AB1C80" w:rsidRDefault="00A94243" w:rsidP="00AB1C80">
      <w:pPr>
        <w:spacing w:line="276" w:lineRule="auto"/>
        <w:rPr>
          <w:rFonts w:cs="Arial"/>
          <w:lang w:eastAsia="es-CO"/>
        </w:rPr>
      </w:pPr>
      <w:r w:rsidRPr="00AB1C80">
        <w:rPr>
          <w:rFonts w:cs="Arial"/>
          <w:lang w:eastAsia="es-CO"/>
        </w:rPr>
        <w:t>En el año 2014 el Instituto Geológico y Minero de España - IGME elaboró el “</w:t>
      </w:r>
      <w:r w:rsidRPr="00AB1C80">
        <w:rPr>
          <w:rFonts w:cs="Arial"/>
          <w:i/>
          <w:iCs/>
          <w:lang w:eastAsia="es-CO"/>
        </w:rPr>
        <w:t>Manual para la evaluación de riesgos de instalaciones de residuos de las industrias extractivas cerradas o abandonadas”</w:t>
      </w:r>
      <w:r w:rsidRPr="00AB1C80">
        <w:rPr>
          <w:rFonts w:cs="Arial"/>
          <w:lang w:eastAsia="es-CO"/>
        </w:rPr>
        <w:t>, en el que se abordaron las fuentes de generación de riesgos asociados a escombreras en etapa de cierre y abandono, estableciendo los posibles impactos al entorno. En este documento se proponen tres metodologías de evaluación de riesgos ambientales que se adaptan a las operaciones mineras: el Análisis Crítico de los Modos y Efectos de Falla (</w:t>
      </w:r>
      <w:proofErr w:type="spellStart"/>
      <w:r w:rsidRPr="00AB1C80">
        <w:rPr>
          <w:rFonts w:cs="Arial"/>
          <w:lang w:eastAsia="es-CO"/>
        </w:rPr>
        <w:t>Failure</w:t>
      </w:r>
      <w:proofErr w:type="spellEnd"/>
      <w:r w:rsidRPr="00AB1C80">
        <w:rPr>
          <w:rFonts w:cs="Arial"/>
          <w:lang w:eastAsia="es-CO"/>
        </w:rPr>
        <w:t xml:space="preserve"> </w:t>
      </w:r>
      <w:proofErr w:type="spellStart"/>
      <w:r w:rsidRPr="00AB1C80">
        <w:rPr>
          <w:rFonts w:cs="Arial"/>
          <w:lang w:eastAsia="es-CO"/>
        </w:rPr>
        <w:t>Modes</w:t>
      </w:r>
      <w:proofErr w:type="spellEnd"/>
      <w:r w:rsidRPr="00AB1C80">
        <w:rPr>
          <w:rFonts w:cs="Arial"/>
          <w:lang w:eastAsia="es-CO"/>
        </w:rPr>
        <w:t xml:space="preserve"> and </w:t>
      </w:r>
      <w:proofErr w:type="spellStart"/>
      <w:r w:rsidRPr="00AB1C80">
        <w:rPr>
          <w:rFonts w:cs="Arial"/>
          <w:lang w:eastAsia="es-CO"/>
        </w:rPr>
        <w:t>Effects</w:t>
      </w:r>
      <w:proofErr w:type="spellEnd"/>
      <w:r w:rsidRPr="00AB1C80">
        <w:rPr>
          <w:rFonts w:cs="Arial"/>
          <w:lang w:eastAsia="es-CO"/>
        </w:rPr>
        <w:t xml:space="preserve"> </w:t>
      </w:r>
      <w:proofErr w:type="spellStart"/>
      <w:r w:rsidRPr="00AB1C80">
        <w:rPr>
          <w:rFonts w:cs="Arial"/>
          <w:lang w:eastAsia="es-CO"/>
        </w:rPr>
        <w:t>Criticality</w:t>
      </w:r>
      <w:proofErr w:type="spellEnd"/>
      <w:r w:rsidRPr="00AB1C80">
        <w:rPr>
          <w:rFonts w:cs="Arial"/>
          <w:lang w:eastAsia="es-CO"/>
        </w:rPr>
        <w:t xml:space="preserve"> </w:t>
      </w:r>
      <w:proofErr w:type="spellStart"/>
      <w:r w:rsidRPr="00AB1C80">
        <w:rPr>
          <w:rFonts w:cs="Arial"/>
          <w:lang w:eastAsia="es-CO"/>
        </w:rPr>
        <w:t>Analysis</w:t>
      </w:r>
      <w:proofErr w:type="spellEnd"/>
      <w:r w:rsidRPr="00AB1C80">
        <w:rPr>
          <w:rFonts w:cs="Arial"/>
          <w:lang w:eastAsia="es-CO"/>
        </w:rPr>
        <w:t>-FMECA), el Análisis del Árbol de Eventos (</w:t>
      </w:r>
      <w:proofErr w:type="spellStart"/>
      <w:r w:rsidRPr="00AB1C80">
        <w:rPr>
          <w:rFonts w:cs="Arial"/>
          <w:lang w:eastAsia="es-CO"/>
        </w:rPr>
        <w:t>Event</w:t>
      </w:r>
      <w:proofErr w:type="spellEnd"/>
      <w:r w:rsidRPr="00AB1C80">
        <w:rPr>
          <w:rFonts w:cs="Arial"/>
          <w:lang w:eastAsia="es-CO"/>
        </w:rPr>
        <w:t xml:space="preserve"> </w:t>
      </w:r>
      <w:proofErr w:type="spellStart"/>
      <w:r w:rsidRPr="00AB1C80">
        <w:rPr>
          <w:rFonts w:cs="Arial"/>
          <w:lang w:eastAsia="es-CO"/>
        </w:rPr>
        <w:t>Tree</w:t>
      </w:r>
      <w:proofErr w:type="spellEnd"/>
      <w:r w:rsidRPr="00AB1C80">
        <w:rPr>
          <w:rFonts w:cs="Arial"/>
          <w:lang w:eastAsia="es-CO"/>
        </w:rPr>
        <w:t xml:space="preserve"> </w:t>
      </w:r>
      <w:proofErr w:type="spellStart"/>
      <w:r w:rsidRPr="00AB1C80">
        <w:rPr>
          <w:rFonts w:cs="Arial"/>
          <w:lang w:eastAsia="es-CO"/>
        </w:rPr>
        <w:t>Analysis</w:t>
      </w:r>
      <w:proofErr w:type="spellEnd"/>
      <w:r w:rsidRPr="00AB1C80">
        <w:rPr>
          <w:rFonts w:cs="Arial"/>
          <w:lang w:eastAsia="es-CO"/>
        </w:rPr>
        <w:t>) y el Análisis mediante Árbol de Errores (</w:t>
      </w:r>
      <w:proofErr w:type="spellStart"/>
      <w:r w:rsidRPr="00AB1C80">
        <w:rPr>
          <w:rFonts w:cs="Arial"/>
          <w:lang w:eastAsia="es-CO"/>
        </w:rPr>
        <w:t>Fault</w:t>
      </w:r>
      <w:proofErr w:type="spellEnd"/>
      <w:r w:rsidRPr="00AB1C80">
        <w:rPr>
          <w:rFonts w:cs="Arial"/>
          <w:lang w:eastAsia="es-CO"/>
        </w:rPr>
        <w:t xml:space="preserve"> </w:t>
      </w:r>
      <w:proofErr w:type="spellStart"/>
      <w:r w:rsidRPr="00AB1C80">
        <w:rPr>
          <w:rFonts w:cs="Arial"/>
          <w:lang w:eastAsia="es-CO"/>
        </w:rPr>
        <w:t>Tree</w:t>
      </w:r>
      <w:proofErr w:type="spellEnd"/>
      <w:r w:rsidRPr="00AB1C80">
        <w:rPr>
          <w:rFonts w:cs="Arial"/>
          <w:lang w:eastAsia="es-CO"/>
        </w:rPr>
        <w:t xml:space="preserve"> </w:t>
      </w:r>
      <w:proofErr w:type="spellStart"/>
      <w:r w:rsidRPr="00AB1C80">
        <w:rPr>
          <w:rFonts w:cs="Arial"/>
          <w:lang w:eastAsia="es-CO"/>
        </w:rPr>
        <w:t>Analysis</w:t>
      </w:r>
      <w:proofErr w:type="spellEnd"/>
      <w:r w:rsidRPr="00AB1C80">
        <w:rPr>
          <w:rFonts w:cs="Arial"/>
          <w:lang w:eastAsia="es-CO"/>
        </w:rPr>
        <w:t xml:space="preserve">). </w:t>
      </w:r>
    </w:p>
    <w:p w14:paraId="5FAC0FDA" w14:textId="77777777" w:rsidR="00A94243" w:rsidRPr="00AB1C80" w:rsidRDefault="00A94243" w:rsidP="00AB1C80">
      <w:pPr>
        <w:spacing w:line="276" w:lineRule="auto"/>
        <w:rPr>
          <w:rFonts w:cs="Arial"/>
          <w:lang w:eastAsia="es-CO"/>
        </w:rPr>
      </w:pPr>
    </w:p>
    <w:p w14:paraId="554B4D26" w14:textId="4FFE08FF" w:rsidR="00A94243" w:rsidRPr="00AB1C80" w:rsidRDefault="00A94243" w:rsidP="00AB1C80">
      <w:pPr>
        <w:spacing w:line="276" w:lineRule="auto"/>
        <w:rPr>
          <w:rFonts w:cs="Arial"/>
          <w:lang w:eastAsia="es-CO"/>
        </w:rPr>
      </w:pPr>
      <w:r w:rsidRPr="00AB1C80">
        <w:rPr>
          <w:rFonts w:cs="Arial"/>
          <w:lang w:eastAsia="es-CO"/>
        </w:rPr>
        <w:t>En la “</w:t>
      </w:r>
      <w:r w:rsidRPr="00AB1C80">
        <w:rPr>
          <w:rFonts w:cs="Arial"/>
          <w:i/>
          <w:iCs/>
          <w:lang w:eastAsia="es-CO"/>
        </w:rPr>
        <w:t>Guía para el diseño y construcción de escombreras</w:t>
      </w:r>
      <w:r w:rsidRPr="00AB1C80">
        <w:rPr>
          <w:rFonts w:cs="Arial"/>
          <w:lang w:eastAsia="es-CO"/>
        </w:rPr>
        <w:t>” elaborada por la Junta de Andalucía en el año 2015, se presentan consideraciones relacionadas a la selección de la ubicación de las escombreras, caracterización de los estériles teniendo en cuenta granulometría, resistencia al corte, conductividad hidráulica, mineralogía, petrografía, propiedades geomecánicas y geoquímicas, factores de estabilidad como su geometría, pendiente, grado de confinamiento, tipo de cimiento, forma y ritmo de vertido, método constructivo, clima, piezometría y sismicidad,  evaluación de riesgos físicos (rotura) y químicos (generación DAM), monitoreo de la estructura a través de inspecciones visuales para la identificación de agrietamientos excesivos, niveles de bermas no constantes, necesidad de refuerzos, abombamiento de taludes, deslizamientos del pie de la cimentación y análisis mediante los resultados obtenidos por instrumentación.</w:t>
      </w:r>
    </w:p>
    <w:p w14:paraId="1523C48D" w14:textId="77777777" w:rsidR="00A94243" w:rsidRPr="00AB1C80" w:rsidRDefault="00A94243" w:rsidP="00AB1C80">
      <w:pPr>
        <w:spacing w:line="276" w:lineRule="auto"/>
        <w:rPr>
          <w:rFonts w:eastAsia="Times New Roman" w:cs="Arial"/>
          <w:szCs w:val="24"/>
          <w:lang w:eastAsia="es-CO"/>
        </w:rPr>
      </w:pPr>
    </w:p>
    <w:p w14:paraId="44DB7EE0" w14:textId="66E909A4" w:rsidR="00A94243" w:rsidRPr="00AB1C80" w:rsidRDefault="00A94243" w:rsidP="00AB1C80">
      <w:pPr>
        <w:spacing w:line="276" w:lineRule="auto"/>
        <w:rPr>
          <w:rFonts w:cs="Arial"/>
          <w:lang w:eastAsia="es-CO"/>
        </w:rPr>
      </w:pPr>
      <w:r w:rsidRPr="00AB1C80">
        <w:rPr>
          <w:rFonts w:cs="Arial"/>
          <w:lang w:eastAsia="es-CO"/>
        </w:rPr>
        <w:t>Los autores González, Rodríguez, Campo, Fernández y Rodríguez (2017) realizaron la evaluación de algunos depósitos de estériles cerrados y abandonados en minas de carbón y de minerales metálicos en España, analizando distintos criterios y técnicas para establecer orientaciones relacionadas a contar con una cobertura final de suelos y vegetación estable y sostenible, capaz de soportar producciones agrícolas; identificando algunas limitaciones relacionadas a la baja capacidad de intercambio catiónico, baja fertilidad, y ausencia de estructura en el suelo. Para la rehabilitación de las escombreras de carbón, se planteó una metodología de 5 fases, 1. Estudios previos, 2. Caracterización de las condiciones iniciales, 3. Ingeniería civil, 4. Procesos de revegetación, y 5. Monitoreo de la restauración.</w:t>
      </w:r>
    </w:p>
    <w:p w14:paraId="3CF9BB6D" w14:textId="77777777" w:rsidR="00A94243" w:rsidRPr="00AB1C80" w:rsidRDefault="00A94243" w:rsidP="00AB1C80">
      <w:pPr>
        <w:spacing w:line="276" w:lineRule="auto"/>
        <w:rPr>
          <w:rFonts w:cs="Arial"/>
        </w:rPr>
      </w:pPr>
    </w:p>
    <w:p w14:paraId="339F4093" w14:textId="18382540" w:rsidR="00A94243" w:rsidRPr="00AB1C80" w:rsidRDefault="00A94243" w:rsidP="00AB1C80">
      <w:pPr>
        <w:spacing w:line="276" w:lineRule="auto"/>
        <w:rPr>
          <w:rFonts w:cs="Arial"/>
        </w:rPr>
      </w:pPr>
      <w:r w:rsidRPr="00AB1C80">
        <w:rPr>
          <w:rFonts w:cs="Arial"/>
        </w:rPr>
        <w:lastRenderedPageBreak/>
        <w:t>Entre las metodologías para la evaluación de los riesgos asociados a estas estructuras (escombreras) se encuentra la técnica “HAZOP metodología de análisis de riesgos” desarrollada en el Reino Unido en la década de los 60 que identifica los riesgos con base en la operación, la ubicación de equipos, el personal, las actividades humanas y los factores externos que generan una situación de riesgo. El objetivo de la técnica es identificar los riesgos y dejarlos documentados mas no resolver todos los problemas que aparecen. Se puede ejecutar en cualquier fase del proyecto: diseño, ingeniería básica o de detalle, antes de la puesta en marcha, pero es recomendable hacerlo en etapas tempranas del proyecto. Se recomienda hacerlo varias veces durante la vida útil del proyecto y antes de cualquier cambio en el proceso. HAZOP depende de la calidad y cantidad de información disponible. Las personas que intervienen entre 4 y máximo 8 personas proponen las causas que pueden ser de tres tipos: error humano, falla de equipamiento y eventos externos, y para cada causa se plantea una consecuencia, y el control existente para evitar que ocurra o para mitigar su efecto. Las consecuencias se categorizan en función de la probabilidad y severidad, y al final exponen un ranking de riesgo. Si ese ranking de riesgo es elevado, se deben tomar acciones que se convierten en recomendaciones y que tienden a solucionar el problema. Cada recomendación va con responsable y tiempo de ejecución, así como recursos. HAZOP es eficaz si se implementa y tiene pleno conocimiento de las contingencias. Los riesgos son fuentes de situaciones peligrosas e impactan negativamente a la rentabilidad del proyecto minero.</w:t>
      </w:r>
    </w:p>
    <w:p w14:paraId="0E2D9C5B" w14:textId="77777777" w:rsidR="00A94243" w:rsidRPr="00AB1C80" w:rsidRDefault="00A94243" w:rsidP="00AB1C80">
      <w:pPr>
        <w:spacing w:line="276" w:lineRule="auto"/>
        <w:rPr>
          <w:rFonts w:eastAsia="Times New Roman" w:cs="Arial"/>
          <w:szCs w:val="24"/>
          <w:lang w:eastAsia="es-CO"/>
        </w:rPr>
      </w:pPr>
    </w:p>
    <w:p w14:paraId="7F7D2223" w14:textId="539820C2" w:rsidR="00A94243" w:rsidRPr="00AB1C80" w:rsidRDefault="00A94243" w:rsidP="00AB1C80">
      <w:pPr>
        <w:spacing w:line="276" w:lineRule="auto"/>
        <w:rPr>
          <w:rFonts w:cs="Arial"/>
          <w:lang w:eastAsia="es-CO"/>
        </w:rPr>
      </w:pPr>
      <w:r w:rsidRPr="00AB1C80">
        <w:rPr>
          <w:rFonts w:cs="Arial"/>
          <w:lang w:eastAsia="es-CO"/>
        </w:rPr>
        <w:t>En el continente americano por ejemplo Canadá en su Código Ambiental elaborado en el año 2009, buscó describir las actividades operativas y preocupaciones ambientales asociadas al sector minero abarcando todo el ciclo de vida de la actividad, formulando distintas prácticas enfocadas hacia la gestión ambiental, presentando los estudios necesarios para el manejo del estéril correspondientes a su caracterización, definición de la topografía, hidrología, geotecnia, geología superficial y de subsuelo,</w:t>
      </w:r>
      <w:r w:rsidRPr="00AB1C80">
        <w:rPr>
          <w:rFonts w:cs="Arial"/>
        </w:rPr>
        <w:t xml:space="preserve"> </w:t>
      </w:r>
      <w:r w:rsidRPr="00AB1C80">
        <w:rPr>
          <w:rFonts w:cs="Arial"/>
          <w:lang w:eastAsia="es-CO"/>
        </w:rPr>
        <w:t xml:space="preserve">estabilidad sísmica local del área de emplazamiento de las estructuras de disposición (escombreras), escenarios de riesgos por eventos naturales, planificación del monitoreo, cierre progresivo y cierre definitivo. </w:t>
      </w:r>
    </w:p>
    <w:p w14:paraId="0C7B0A14" w14:textId="77777777" w:rsidR="00A94243" w:rsidRPr="00AB1C80" w:rsidRDefault="00A94243" w:rsidP="00AB1C80">
      <w:pPr>
        <w:spacing w:line="276" w:lineRule="auto"/>
        <w:rPr>
          <w:rFonts w:cs="Arial"/>
          <w:lang w:eastAsia="es-CO"/>
        </w:rPr>
      </w:pPr>
    </w:p>
    <w:p w14:paraId="7E9397A4" w14:textId="06D3F56D" w:rsidR="00A94243" w:rsidRPr="00AB1C80" w:rsidRDefault="00A94243" w:rsidP="00AB1C80">
      <w:pPr>
        <w:spacing w:line="276" w:lineRule="auto"/>
        <w:rPr>
          <w:rFonts w:cs="Arial"/>
          <w:lang w:eastAsia="es-CO"/>
        </w:rPr>
      </w:pPr>
      <w:r w:rsidRPr="00AB1C80">
        <w:rPr>
          <w:rFonts w:cs="Arial"/>
          <w:lang w:eastAsia="es-CO"/>
        </w:rPr>
        <w:t>En Latinoamérica, se evidencia un notorio rezago respecto a la definición de lineamientos específicos encaminados al manejo de los estériles mineros a comparación de Europa. Aunque cabe destacar que un país como Chile ha avanzado significativamente en este objetivo.</w:t>
      </w:r>
    </w:p>
    <w:p w14:paraId="5C0C7CCA" w14:textId="77777777" w:rsidR="00A94243" w:rsidRPr="00AB1C80" w:rsidRDefault="00A94243" w:rsidP="00AB1C80">
      <w:pPr>
        <w:spacing w:line="276" w:lineRule="auto"/>
        <w:rPr>
          <w:rFonts w:eastAsia="Times New Roman" w:cs="Arial"/>
          <w:szCs w:val="24"/>
          <w:lang w:eastAsia="es-CO"/>
        </w:rPr>
      </w:pPr>
    </w:p>
    <w:p w14:paraId="7F2D6363" w14:textId="673E4C92" w:rsidR="00A94243" w:rsidRPr="00AB1C80" w:rsidRDefault="00A94243" w:rsidP="00AB1C80">
      <w:pPr>
        <w:spacing w:line="276" w:lineRule="auto"/>
        <w:rPr>
          <w:rFonts w:cs="Arial"/>
          <w:lang w:eastAsia="es-CO"/>
        </w:rPr>
      </w:pPr>
      <w:r w:rsidRPr="00AB1C80">
        <w:rPr>
          <w:rFonts w:cs="Arial"/>
          <w:lang w:eastAsia="es-CO"/>
        </w:rPr>
        <w:t>Por lo anterior, el Servicio Nacional de Geología y Minería elaboró en el año 2010 la “</w:t>
      </w:r>
      <w:r w:rsidRPr="00AB1C80">
        <w:rPr>
          <w:rFonts w:cs="Arial"/>
          <w:i/>
          <w:iCs/>
          <w:lang w:eastAsia="es-CO"/>
        </w:rPr>
        <w:t xml:space="preserve">Guía metodológica de seguridad para presentación de proyectos mineros de </w:t>
      </w:r>
      <w:r w:rsidRPr="00AB1C80">
        <w:rPr>
          <w:rFonts w:cs="Arial"/>
          <w:i/>
          <w:iCs/>
          <w:lang w:eastAsia="es-CO"/>
        </w:rPr>
        <w:lastRenderedPageBreak/>
        <w:t>botaderos</w:t>
      </w:r>
      <w:r w:rsidRPr="00AB1C80">
        <w:rPr>
          <w:rFonts w:cs="Arial"/>
          <w:lang w:eastAsia="es-CO"/>
        </w:rPr>
        <w:t>”, en el que se presentan obligaciones técnicas para la gestión de los botaderos (escombreras) en donde se requiere la presentación por parte de las empresas mineras, de un documento técnico los siguientes aspectos: 1. Datos de entrada (Modelo geotécnico, Parámetros de diseño), 2. Proceso de planificación: base para desarrollar el proyecto (Parámetros de diseño, Diseño de fases, Plan minero, Cálculo de equipos, Forma de llenado, Criterios de aceptabilidad, Sismicidad y riesgo sísmico, Análisis de estabilidad, Análisis numérico y Análisis de riesgos (Hazop). </w:t>
      </w:r>
    </w:p>
    <w:p w14:paraId="65B52D35" w14:textId="77777777" w:rsidR="00A94243" w:rsidRPr="00AB1C80" w:rsidRDefault="00A94243" w:rsidP="00AB1C80">
      <w:pPr>
        <w:spacing w:line="276" w:lineRule="auto"/>
        <w:rPr>
          <w:rFonts w:cs="Arial"/>
          <w:lang w:eastAsia="es-CO"/>
        </w:rPr>
      </w:pPr>
    </w:p>
    <w:p w14:paraId="0B4AD410" w14:textId="661C45F8" w:rsidR="00A94243" w:rsidRPr="00AB1C80" w:rsidRDefault="00A94243" w:rsidP="00AB1C80">
      <w:pPr>
        <w:spacing w:line="276" w:lineRule="auto"/>
        <w:rPr>
          <w:rFonts w:cs="Arial"/>
          <w:lang w:eastAsia="es-CO"/>
        </w:rPr>
      </w:pPr>
      <w:r w:rsidRPr="00AB1C80">
        <w:rPr>
          <w:rFonts w:cs="Arial"/>
          <w:lang w:eastAsia="es-CO"/>
        </w:rPr>
        <w:t xml:space="preserve">En el año 2014, Chile logra establecer aspectos básicos relacionados a la gestión de escombreras en la pequeña minería, las cuales deben estar sometidas a controles rutinarios para evitar deformaciones o asentamientos, filtraciones y presencia de grietas; la idea es que durante la operación se deben reparar las fisuras, con el fin de evitar la presencia de inestabilidad física que genere eventos de remoción en masa. </w:t>
      </w:r>
    </w:p>
    <w:p w14:paraId="6F202589" w14:textId="77777777" w:rsidR="00A94243" w:rsidRPr="00AB1C80" w:rsidRDefault="00A94243" w:rsidP="00AB1C80">
      <w:pPr>
        <w:spacing w:line="276" w:lineRule="auto"/>
        <w:rPr>
          <w:rFonts w:cs="Arial"/>
        </w:rPr>
      </w:pPr>
    </w:p>
    <w:p w14:paraId="50B63078" w14:textId="5D10F8A8" w:rsidR="00A94243" w:rsidRPr="00AB1C80" w:rsidRDefault="00A94243" w:rsidP="00AB1C80">
      <w:pPr>
        <w:spacing w:line="276" w:lineRule="auto"/>
        <w:rPr>
          <w:rFonts w:cs="Arial"/>
          <w:lang w:eastAsia="es-CO"/>
        </w:rPr>
      </w:pPr>
      <w:r w:rsidRPr="00AB1C80">
        <w:rPr>
          <w:rFonts w:cs="Arial"/>
        </w:rPr>
        <w:t>En el año 2018 el Ministerio</w:t>
      </w:r>
      <w:r w:rsidRPr="00AB1C80">
        <w:rPr>
          <w:rFonts w:cs="Arial"/>
          <w:lang w:eastAsia="es-CO"/>
        </w:rPr>
        <w:t xml:space="preserve"> de Minería de Chile presentó la “</w:t>
      </w:r>
      <w:r w:rsidRPr="00AB1C80">
        <w:rPr>
          <w:rFonts w:cs="Arial"/>
          <w:i/>
          <w:iCs/>
          <w:lang w:eastAsia="es-CO"/>
        </w:rPr>
        <w:t>Guía metodológica para evaluar la estabilidad física de instalaciones mineras remanentes</w:t>
      </w:r>
      <w:r w:rsidRPr="00AB1C80">
        <w:rPr>
          <w:rFonts w:cs="Arial"/>
          <w:lang w:eastAsia="es-CO"/>
        </w:rPr>
        <w:t>” abordando en sus diferentes apartados la gestión integral de los estériles a través de la formulación de diferentes etapas correspondientes al 1. La fase de diseño, (geometría del depósito de estériles); 2. Construcción (forma de disposición de los estériles); 3. Monitoreo (desde fase de diseño, con instrumentos e información que permitan verificar las condiciones del área donde se dispondrán los estériles, tales como inclinómetros, extensómetros, topografía, geología, hidrogeología, geotecnia, caracterización del macizo rocoso y sus propiedades geomecánicas entre otros; instrumentos e información que se mantendrá y de ser necesario, será actualizada a lo largo de la vida útil del proyecto, incluyendo cierre y post cierre); 4. Recopilación y análisis de datos (definir la periodicidad con la que se toman los datos, se analizan y se toman medidas frente a los resultados obtenidos como obras de manejo de aguas, variaciones en</w:t>
      </w:r>
      <w:r w:rsidRPr="00AB1C80">
        <w:rPr>
          <w:rFonts w:cs="Arial"/>
        </w:rPr>
        <w:t xml:space="preserve"> </w:t>
      </w:r>
      <w:r w:rsidRPr="00AB1C80">
        <w:rPr>
          <w:rFonts w:cs="Arial"/>
          <w:lang w:eastAsia="es-CO"/>
        </w:rPr>
        <w:t>la geometría de los botaderos como ángulos de talud, altura de bancos, anchos de bermas).</w:t>
      </w:r>
    </w:p>
    <w:p w14:paraId="06B33D50" w14:textId="77777777" w:rsidR="00A94243" w:rsidRPr="00AB1C80" w:rsidRDefault="00A94243" w:rsidP="00AB1C80">
      <w:pPr>
        <w:spacing w:line="276" w:lineRule="auto"/>
        <w:rPr>
          <w:rFonts w:cs="Arial"/>
        </w:rPr>
      </w:pPr>
    </w:p>
    <w:p w14:paraId="786E5072" w14:textId="5D333B92" w:rsidR="00A94243" w:rsidRPr="00AB1C80" w:rsidRDefault="00A94243" w:rsidP="00AB1C80">
      <w:pPr>
        <w:spacing w:line="276" w:lineRule="auto"/>
        <w:rPr>
          <w:rFonts w:cs="Arial"/>
          <w:lang w:eastAsia="es-CO"/>
        </w:rPr>
      </w:pPr>
      <w:r w:rsidRPr="00AB1C80">
        <w:rPr>
          <w:rFonts w:cs="Arial"/>
        </w:rPr>
        <w:t xml:space="preserve">En el año 2020 el gobierno chileno </w:t>
      </w:r>
      <w:r w:rsidRPr="00AB1C80">
        <w:rPr>
          <w:rFonts w:cs="Arial"/>
          <w:lang w:eastAsia="es-CO"/>
        </w:rPr>
        <w:t xml:space="preserve">implementó los Permisos Ambientales Sectoriales PAS; esto implica que las empresas mineras deben presentar ante </w:t>
      </w:r>
      <w:r w:rsidR="00A54D0A" w:rsidRPr="00AB1C80">
        <w:rPr>
          <w:rFonts w:cs="Arial"/>
          <w:lang w:eastAsia="es-CO"/>
        </w:rPr>
        <w:t>él</w:t>
      </w:r>
      <w:r w:rsidRPr="00AB1C80">
        <w:rPr>
          <w:rFonts w:cs="Arial"/>
          <w:lang w:eastAsia="es-CO"/>
        </w:rPr>
        <w:t xml:space="preserve"> SEA (Servicio de Evaluación Ambiental) un documento técnico para su revisión y aprobación que contenga información técnica y ambiental que garantice la estabilidad y las máximas medidas de seguridad tanto en construcción como en crecimiento de la estructura, sea en una instalación relacionada con botaderos de estéril o acumulación temporal de minerales. </w:t>
      </w:r>
    </w:p>
    <w:p w14:paraId="358A857D" w14:textId="77777777" w:rsidR="00A94243" w:rsidRPr="00AB1C80" w:rsidRDefault="00A94243" w:rsidP="00AB1C80">
      <w:pPr>
        <w:spacing w:line="276" w:lineRule="auto"/>
        <w:rPr>
          <w:rFonts w:eastAsia="Times New Roman" w:cs="Arial"/>
          <w:szCs w:val="24"/>
          <w:lang w:eastAsia="es-CO"/>
        </w:rPr>
      </w:pPr>
    </w:p>
    <w:p w14:paraId="3B1111FC" w14:textId="2543CFE0" w:rsidR="00A94243" w:rsidRPr="00AB1C80" w:rsidRDefault="00A94243" w:rsidP="00AB1C80">
      <w:pPr>
        <w:spacing w:line="276" w:lineRule="auto"/>
        <w:rPr>
          <w:rFonts w:cs="Arial"/>
          <w:lang w:eastAsia="es-CO"/>
        </w:rPr>
      </w:pPr>
      <w:r w:rsidRPr="00AB1C80">
        <w:rPr>
          <w:rFonts w:cs="Arial"/>
          <w:lang w:eastAsia="es-CO"/>
        </w:rPr>
        <w:t>Por otra parte, la mayoría de los países sudamericanos han dado inicio al abordaje de temáticas relacionadas a la gestión de residuos mineros y procesos iniciales de Economía Circular sin ahondar en aspectos directamente relacionados al manejo del estéril, por lo que es necesario desarrollar guías, manuales y disposiciones técnicas a detalle que permitan orientar a los actores del sector a investigar,  elaborar e implementar practicas integrales en donde prevalezca el desarrollo sostenible, la mitigación del riesgo y la aplicación de buenas prácticas en la gestión de los estériles mineros entendiendo que cada operación es específica, particular y con características propias, y por ende, un estándar se puede adaptar a la realidad de cada proyecto.</w:t>
      </w:r>
    </w:p>
    <w:p w14:paraId="27A14AF9" w14:textId="77777777" w:rsidR="00A94243" w:rsidRPr="00AB1C80" w:rsidRDefault="00A94243" w:rsidP="00AB1C80">
      <w:pPr>
        <w:spacing w:line="276" w:lineRule="auto"/>
        <w:rPr>
          <w:rFonts w:cs="Arial"/>
          <w:lang w:eastAsia="es-CO"/>
        </w:rPr>
      </w:pPr>
    </w:p>
    <w:p w14:paraId="18EBD208" w14:textId="38802892" w:rsidR="00A94243" w:rsidRPr="00AB1C80" w:rsidRDefault="00A94243" w:rsidP="00AB1C80">
      <w:pPr>
        <w:spacing w:line="276" w:lineRule="auto"/>
        <w:rPr>
          <w:rFonts w:cs="Arial"/>
          <w:lang w:eastAsia="es-CO"/>
        </w:rPr>
      </w:pPr>
      <w:r w:rsidRPr="00AB1C80">
        <w:rPr>
          <w:rFonts w:cs="Arial"/>
          <w:lang w:eastAsia="es-CO"/>
        </w:rPr>
        <w:t>A partir del análisis realizado a la temática internacional es posible establecer que con un manejo adecuado del estéril minero junto y una caracterización físico química y geomecánica previa y detallada, es posible establecer alternativas de disposición y/o aprovechamiento; si bien es cierto, las escombreras son la primera opción para la disposición del estéril, éstas deben también deben estar concebidas partiendo de una línea base detallada de conocimiento que incorpore aspectos técnicos, sociales, ambientales y económicos, necesarios para la toma de decisiones respecto a su ubicación, diseño, construcción, operación y cierre, garantizando a lo largo del ciclo de vida del proyecto minero, la estabilidad física y química de la estructura, minimización de riesgos ambientales y sociales asociados a su operación y abandono.</w:t>
      </w:r>
    </w:p>
    <w:p w14:paraId="0D622B1D" w14:textId="09DD34CF" w:rsidR="00A94243" w:rsidRPr="00AB1C80" w:rsidRDefault="00A94243" w:rsidP="00AB1C80">
      <w:pPr>
        <w:spacing w:line="276" w:lineRule="auto"/>
        <w:rPr>
          <w:rFonts w:cs="Arial"/>
          <w:color w:val="000000" w:themeColor="text1"/>
        </w:rPr>
      </w:pPr>
    </w:p>
    <w:p w14:paraId="063F92F0" w14:textId="77777777" w:rsidR="00A94243" w:rsidRPr="00AB1C80" w:rsidRDefault="00A94243" w:rsidP="00AB1C80">
      <w:pPr>
        <w:spacing w:line="276" w:lineRule="auto"/>
        <w:jc w:val="left"/>
        <w:rPr>
          <w:rFonts w:cs="Arial"/>
          <w:color w:val="000000" w:themeColor="text1"/>
        </w:rPr>
      </w:pPr>
      <w:r w:rsidRPr="00AB1C80">
        <w:rPr>
          <w:rFonts w:cs="Arial"/>
          <w:color w:val="000000" w:themeColor="text1"/>
        </w:rPr>
        <w:br w:type="page"/>
      </w:r>
    </w:p>
    <w:p w14:paraId="2BEF78C1" w14:textId="49844774" w:rsidR="00EB4017" w:rsidRPr="00AB1C80" w:rsidRDefault="00F151C7" w:rsidP="00AB1C80">
      <w:pPr>
        <w:pStyle w:val="Ttulo4"/>
        <w:spacing w:line="276" w:lineRule="auto"/>
        <w:rPr>
          <w:rFonts w:ascii="Arial" w:hAnsi="Arial"/>
        </w:rPr>
      </w:pPr>
      <w:bookmarkStart w:id="79" w:name="_Toc86332928"/>
      <w:r w:rsidRPr="00AB1C80">
        <w:rPr>
          <w:rFonts w:ascii="Arial" w:hAnsi="Arial"/>
        </w:rPr>
        <w:lastRenderedPageBreak/>
        <w:t>Marco normativo</w:t>
      </w:r>
      <w:bookmarkEnd w:id="79"/>
    </w:p>
    <w:p w14:paraId="72B60B79" w14:textId="77777777" w:rsidR="00F151C7" w:rsidRPr="00AB1C80" w:rsidRDefault="00F151C7" w:rsidP="00AB1C80">
      <w:pPr>
        <w:spacing w:line="276" w:lineRule="auto"/>
        <w:rPr>
          <w:rFonts w:cs="Arial"/>
          <w:color w:val="000000" w:themeColor="text1"/>
        </w:rPr>
      </w:pPr>
    </w:p>
    <w:p w14:paraId="5279D1C5" w14:textId="77777777" w:rsidR="00E45FE5" w:rsidRPr="00AB1C80" w:rsidRDefault="00E45FE5" w:rsidP="00AB1C80">
      <w:pPr>
        <w:spacing w:line="276" w:lineRule="auto"/>
        <w:rPr>
          <w:rFonts w:cs="Arial"/>
          <w:szCs w:val="24"/>
        </w:rPr>
      </w:pPr>
      <w:r w:rsidRPr="00AB1C80">
        <w:rPr>
          <w:rFonts w:cs="Arial"/>
          <w:szCs w:val="24"/>
        </w:rPr>
        <w:t>En el marco internacional la reglamentación relacionada a los residuos mineros denominados estériles, se ha desarrollado desde los sectores e institucionalidad minera y ambiental; sin embargo, en la evaluación de la documentación recopilada es evidente que no se cuenta con normas enfocadas específicamente al manejo y  la gestión de estériles; por lo que a partir de lo establecido en leyes, decretos, reglamentos, códigos y directivas se han elaborado en algunos países manuales y guías que establecen consideraciones y obligaciones técnicas respecto a la concepción, diseño, operación, cierre y abandono de las estructuras de disposición del material, conocidas como botaderos o escombreras, en los que se incorpora la gestión, evaluación y control de riesgos e impactos asociados al desarrollo de estas estructuras, ya que en los últimos años la política del sector minero a nivel global ha cambiado su enfoque hace la optimización de recursos y minimización de residuos y las normas han incorporado progresivamente estos aspectos, en las que se busca el máximo aprovechamiento de los residuos mineros.</w:t>
      </w:r>
    </w:p>
    <w:p w14:paraId="26716210" w14:textId="77777777" w:rsidR="00E45FE5" w:rsidRPr="00AB1C80" w:rsidRDefault="00E45FE5" w:rsidP="00AB1C80">
      <w:pPr>
        <w:spacing w:line="276" w:lineRule="auto"/>
        <w:rPr>
          <w:rFonts w:cs="Arial"/>
          <w:szCs w:val="24"/>
        </w:rPr>
      </w:pPr>
    </w:p>
    <w:p w14:paraId="66CBBE13" w14:textId="77777777" w:rsidR="00E45FE5" w:rsidRPr="00AB1C80" w:rsidRDefault="00E45FE5" w:rsidP="00AB1C80">
      <w:pPr>
        <w:spacing w:line="276" w:lineRule="auto"/>
        <w:rPr>
          <w:rFonts w:cs="Arial"/>
          <w:szCs w:val="24"/>
        </w:rPr>
      </w:pPr>
      <w:r w:rsidRPr="00AB1C80">
        <w:rPr>
          <w:rFonts w:cs="Arial"/>
          <w:szCs w:val="24"/>
        </w:rPr>
        <w:t>En Europa gracias a la articulación existente entre los países miembros de la Unión Europea se ha logrado la formulación de directivas enfocadas al sector minero, en las que deben acoger orientaciones encaminadas al manejo integral de los residuos mineros. Respecto al estéril minero en la Directiva 2006/21 de la Comunidad Europea se establecen directrices para la gestión de residuos de las industrias extractivas; en esta se supervisan las condiciones de los permisos, el almacenamiento, el seguimiento y el control de los residuos mineros, cuyo propósito es garantizar la protección de la salud humana y el medio ambiente. La aplicación de estas normas ha permitido la posibilidad de desarrollo de proyectos de investigación enfocados al inventario de instalaciones de residuos cerradas, formulación de alternativas para el aprovechamiento y la valorización del material estéril. Algunos países antes del desarrollo de estas directivas ya han abordado la gestión del estéril minero; por ejemplo, España cuenta con guías y manuales a detalle para el manejo de las escombreras siendo adoptadas a partir de los requerimientos establecidos en las normas desarrolladas desde el sector minero energético, siendo adaptadas y ajustadas a lo largo del tiempo según las necesidades y requerimientos del sector.</w:t>
      </w:r>
    </w:p>
    <w:p w14:paraId="3147DCEF" w14:textId="77777777" w:rsidR="00E45FE5" w:rsidRPr="00AB1C80" w:rsidRDefault="00E45FE5" w:rsidP="00AB1C80">
      <w:pPr>
        <w:spacing w:line="276" w:lineRule="auto"/>
        <w:rPr>
          <w:rFonts w:cs="Arial"/>
          <w:szCs w:val="24"/>
        </w:rPr>
      </w:pPr>
    </w:p>
    <w:p w14:paraId="2CF3843B" w14:textId="5C95B26C" w:rsidR="00E45FE5" w:rsidRPr="00AB1C80" w:rsidRDefault="00E45FE5" w:rsidP="00AB1C80">
      <w:pPr>
        <w:spacing w:line="276" w:lineRule="auto"/>
        <w:rPr>
          <w:rFonts w:cs="Arial"/>
          <w:szCs w:val="24"/>
        </w:rPr>
      </w:pPr>
      <w:r w:rsidRPr="00AB1C80">
        <w:rPr>
          <w:rFonts w:cs="Arial"/>
          <w:szCs w:val="24"/>
        </w:rPr>
        <w:t xml:space="preserve">En el caso del continente americano países como Canadá cuentan con normas que han dado origen a códigos ambientales y directrices encaminadas a la gestión de los residuos mineros en los que se incorporan aspectos relacionados a la gestión de los </w:t>
      </w:r>
      <w:r w:rsidR="001019B3" w:rsidRPr="00AB1C80">
        <w:rPr>
          <w:rFonts w:cs="Arial"/>
          <w:szCs w:val="24"/>
        </w:rPr>
        <w:t>estériles</w:t>
      </w:r>
      <w:r w:rsidRPr="00AB1C80">
        <w:rPr>
          <w:rFonts w:cs="Arial"/>
          <w:szCs w:val="24"/>
        </w:rPr>
        <w:t xml:space="preserve">. En Latinoamérica en muchos casos las referencias legales </w:t>
      </w:r>
      <w:r w:rsidRPr="00AB1C80">
        <w:rPr>
          <w:rFonts w:cs="Arial"/>
          <w:szCs w:val="24"/>
        </w:rPr>
        <w:lastRenderedPageBreak/>
        <w:t xml:space="preserve">relacionadas al manejo del estéril están ligadas únicamente a lo establecido en los códigos y reglamentos generales del sector minero y a las disposiciones normativas de carácter ambiental encaminadas a la gestión de los impactos ambientales generados por la operación y el desarrollo de la actividad minera, sin ahondar en la gestión y manejo de los estériles mineros. Países como Chile y Perú van un paso adelante en su desarrollo normativo minero y ambiental respecto a otros países de la región como Colombia que en la actualidad se encuentra en la formulación de hojas de ruta para abordar estas temáticas. </w:t>
      </w:r>
    </w:p>
    <w:p w14:paraId="1524A93F" w14:textId="77777777" w:rsidR="00E45FE5" w:rsidRPr="00AB1C80" w:rsidRDefault="00E45FE5" w:rsidP="00AB1C80">
      <w:pPr>
        <w:spacing w:line="276" w:lineRule="auto"/>
        <w:rPr>
          <w:rStyle w:val="A5"/>
          <w:rFonts w:cs="Arial"/>
          <w:sz w:val="24"/>
          <w:szCs w:val="24"/>
        </w:rPr>
      </w:pPr>
    </w:p>
    <w:p w14:paraId="3A7D993F" w14:textId="450A2E6A" w:rsidR="00E45FE5" w:rsidRPr="00AB1C80" w:rsidRDefault="00E45FE5" w:rsidP="00AB1C80">
      <w:pPr>
        <w:spacing w:line="276" w:lineRule="auto"/>
        <w:rPr>
          <w:rFonts w:cs="Arial"/>
          <w:color w:val="000000"/>
          <w:szCs w:val="24"/>
        </w:rPr>
      </w:pPr>
      <w:r w:rsidRPr="00AB1C80">
        <w:rPr>
          <w:rStyle w:val="A5"/>
          <w:rFonts w:cs="Arial"/>
          <w:sz w:val="24"/>
          <w:szCs w:val="24"/>
        </w:rPr>
        <w:t xml:space="preserve">Particularmente, la industria minera de Chile se encuentra regulada por normas específicas, entre otras, por la Ley sobre Bases Generales del Medio Ambiente (Ley 19.300); el Reglamento de Seguridad Minera (Decreto Supremo N° 132); el decreto que aprueba el reglamento para la aprobación de proyectos de diseño, construcción, operación y cierre de depósitos de relave (Decreto Supremo </w:t>
      </w:r>
      <w:r w:rsidR="00A54D0A" w:rsidRPr="00AB1C80">
        <w:rPr>
          <w:rStyle w:val="A5"/>
          <w:rFonts w:cs="Arial"/>
          <w:sz w:val="24"/>
          <w:szCs w:val="24"/>
        </w:rPr>
        <w:t>N.º</w:t>
      </w:r>
      <w:r w:rsidRPr="00AB1C80">
        <w:rPr>
          <w:rStyle w:val="A5"/>
          <w:rFonts w:cs="Arial"/>
          <w:sz w:val="24"/>
          <w:szCs w:val="24"/>
        </w:rPr>
        <w:t xml:space="preserve"> 248); y la ley que regula el cierre de faenas e instalaciones mineras (Ley 20.551), que entró en vigencia el año 2012, en conjunto con su reglamento, Decreto N° 41 y la Ley 20.819 que modifica la Ley 20.551, que regula el cierre de faenas e instalaciones mineras e introduce otras modificaciones legales.</w:t>
      </w:r>
    </w:p>
    <w:p w14:paraId="7F6CEB09" w14:textId="77777777" w:rsidR="00E45FE5" w:rsidRPr="00AB1C80" w:rsidRDefault="00E45FE5" w:rsidP="00AB1C80">
      <w:pPr>
        <w:spacing w:line="276" w:lineRule="auto"/>
        <w:rPr>
          <w:rFonts w:cs="Arial"/>
          <w:szCs w:val="24"/>
        </w:rPr>
      </w:pPr>
    </w:p>
    <w:p w14:paraId="1081C0B8" w14:textId="77777777" w:rsidR="00E45FE5" w:rsidRPr="00AB1C80" w:rsidRDefault="00E45FE5" w:rsidP="00AB1C80">
      <w:pPr>
        <w:spacing w:line="276" w:lineRule="auto"/>
        <w:rPr>
          <w:rFonts w:cs="Arial"/>
          <w:szCs w:val="24"/>
        </w:rPr>
      </w:pPr>
      <w:r w:rsidRPr="00AB1C80">
        <w:rPr>
          <w:rFonts w:cs="Arial"/>
          <w:szCs w:val="24"/>
        </w:rPr>
        <w:t>Argentina mediante la Secretaría de Minas del Ministerio de Desarrollo Productivo elaboró unos lineamientos generales para la gestión racional de residuos mineros durante todo el ciclo de vida de una mina, documento denominado Gestión Racional de Residuos Mineros, y publicado para el presente año 2021.</w:t>
      </w:r>
    </w:p>
    <w:p w14:paraId="5CCAFD7A" w14:textId="77777777" w:rsidR="00E45FE5" w:rsidRPr="00AB1C80" w:rsidRDefault="00E45FE5" w:rsidP="00AB1C80">
      <w:pPr>
        <w:spacing w:line="276" w:lineRule="auto"/>
        <w:rPr>
          <w:rFonts w:cs="Arial"/>
          <w:szCs w:val="24"/>
        </w:rPr>
      </w:pPr>
    </w:p>
    <w:p w14:paraId="1D0AA299" w14:textId="7E380ABB" w:rsidR="003E557B" w:rsidRPr="00AB1C80" w:rsidRDefault="00E45FE5" w:rsidP="00AB1C80">
      <w:pPr>
        <w:spacing w:line="276" w:lineRule="auto"/>
        <w:rPr>
          <w:rFonts w:cs="Arial"/>
          <w:szCs w:val="24"/>
        </w:rPr>
      </w:pPr>
      <w:r w:rsidRPr="00AB1C80">
        <w:rPr>
          <w:rFonts w:cs="Arial"/>
          <w:szCs w:val="24"/>
        </w:rPr>
        <w:t xml:space="preserve">En la </w:t>
      </w:r>
      <w:r w:rsidR="00353A4E" w:rsidRPr="00AB1C80">
        <w:rPr>
          <w:rFonts w:cs="Arial"/>
          <w:b/>
          <w:bCs/>
          <w:szCs w:val="24"/>
        </w:rPr>
        <w:fldChar w:fldCharType="begin"/>
      </w:r>
      <w:r w:rsidR="00353A4E" w:rsidRPr="00AB1C80">
        <w:rPr>
          <w:rFonts w:cs="Arial"/>
          <w:b/>
          <w:bCs/>
          <w:szCs w:val="24"/>
        </w:rPr>
        <w:instrText xml:space="preserve"> REF _Ref86211271 \h  \* MERGEFORMAT </w:instrText>
      </w:r>
      <w:r w:rsidR="00353A4E" w:rsidRPr="00AB1C80">
        <w:rPr>
          <w:rFonts w:cs="Arial"/>
          <w:b/>
          <w:bCs/>
          <w:szCs w:val="24"/>
        </w:rPr>
      </w:r>
      <w:r w:rsidR="00353A4E" w:rsidRPr="00AB1C80">
        <w:rPr>
          <w:rFonts w:cs="Arial"/>
          <w:b/>
          <w:bCs/>
          <w:szCs w:val="24"/>
        </w:rPr>
        <w:fldChar w:fldCharType="separate"/>
      </w:r>
      <w:r w:rsidR="00AB1C80" w:rsidRPr="00AB1C80">
        <w:rPr>
          <w:rFonts w:cs="Arial"/>
          <w:b/>
          <w:bCs/>
        </w:rPr>
        <w:t xml:space="preserve">Tabla </w:t>
      </w:r>
      <w:r w:rsidR="00AB1C80" w:rsidRPr="00AB1C80">
        <w:rPr>
          <w:rFonts w:cs="Arial"/>
          <w:b/>
          <w:bCs/>
          <w:noProof/>
        </w:rPr>
        <w:t>17</w:t>
      </w:r>
      <w:r w:rsidR="00353A4E" w:rsidRPr="00AB1C80">
        <w:rPr>
          <w:rFonts w:cs="Arial"/>
          <w:b/>
          <w:bCs/>
          <w:szCs w:val="24"/>
        </w:rPr>
        <w:fldChar w:fldCharType="end"/>
      </w:r>
      <w:r w:rsidRPr="00AB1C80">
        <w:rPr>
          <w:rFonts w:cs="Arial"/>
          <w:szCs w:val="24"/>
        </w:rPr>
        <w:t xml:space="preserve"> se relaciona el marco legal internacional recopilado en los diferentes documentos sobre la gestión y el manejo del material estéril en minería.</w:t>
      </w:r>
    </w:p>
    <w:p w14:paraId="47F0B3F8" w14:textId="783502EA" w:rsidR="00353A4E" w:rsidRPr="00AB1C80" w:rsidRDefault="00353A4E" w:rsidP="00AB1C80">
      <w:pPr>
        <w:spacing w:line="276" w:lineRule="auto"/>
        <w:rPr>
          <w:rFonts w:cs="Arial"/>
          <w:szCs w:val="24"/>
        </w:rPr>
      </w:pPr>
    </w:p>
    <w:p w14:paraId="24BDB256" w14:textId="7A1668F0" w:rsidR="00353A4E" w:rsidRPr="00AB1C80" w:rsidRDefault="00353A4E" w:rsidP="00AB1C80">
      <w:pPr>
        <w:spacing w:line="276" w:lineRule="auto"/>
        <w:rPr>
          <w:rFonts w:cs="Arial"/>
          <w:color w:val="000000" w:themeColor="text1"/>
          <w:szCs w:val="24"/>
        </w:rPr>
      </w:pPr>
    </w:p>
    <w:p w14:paraId="48C4B307" w14:textId="77777777" w:rsidR="00353A4E" w:rsidRPr="00AB1C80" w:rsidRDefault="00353A4E" w:rsidP="00AB1C80">
      <w:pPr>
        <w:spacing w:line="276" w:lineRule="auto"/>
        <w:rPr>
          <w:rFonts w:cs="Arial"/>
          <w:color w:val="000000" w:themeColor="text1"/>
          <w:szCs w:val="24"/>
        </w:rPr>
      </w:pPr>
    </w:p>
    <w:p w14:paraId="0BC31421" w14:textId="77777777" w:rsidR="00E45FE5" w:rsidRPr="00AB1C80" w:rsidRDefault="00E45FE5" w:rsidP="00AB1C80">
      <w:pPr>
        <w:spacing w:line="276" w:lineRule="auto"/>
        <w:jc w:val="left"/>
        <w:rPr>
          <w:rFonts w:cs="Arial"/>
          <w:color w:val="000000" w:themeColor="text1"/>
          <w:szCs w:val="24"/>
        </w:rPr>
        <w:sectPr w:rsidR="00E45FE5" w:rsidRPr="00AB1C80" w:rsidSect="00A84705">
          <w:pgSz w:w="12240" w:h="15840"/>
          <w:pgMar w:top="1418" w:right="1701" w:bottom="1418" w:left="1701" w:header="709" w:footer="709" w:gutter="0"/>
          <w:cols w:space="708"/>
          <w:docGrid w:linePitch="360"/>
        </w:sectPr>
      </w:pPr>
    </w:p>
    <w:p w14:paraId="30ABCD54" w14:textId="355AA144" w:rsidR="00353A4E" w:rsidRPr="00AB1C80" w:rsidRDefault="00353A4E" w:rsidP="00AB1C80">
      <w:pPr>
        <w:pStyle w:val="FigurayTabla"/>
        <w:spacing w:line="276" w:lineRule="auto"/>
        <w:rPr>
          <w:rFonts w:cs="Arial"/>
          <w:lang w:val="es-CO"/>
        </w:rPr>
      </w:pPr>
      <w:bookmarkStart w:id="80" w:name="_Ref86211271"/>
      <w:bookmarkStart w:id="81" w:name="_Toc86333022"/>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17</w:t>
      </w:r>
      <w:r w:rsidRPr="00AB1C80">
        <w:rPr>
          <w:rFonts w:cs="Arial"/>
          <w:lang w:val="es-CO"/>
        </w:rPr>
        <w:fldChar w:fldCharType="end"/>
      </w:r>
      <w:bookmarkEnd w:id="80"/>
      <w:r w:rsidRPr="00AB1C80">
        <w:rPr>
          <w:rFonts w:cs="Arial"/>
          <w:lang w:val="es-CO"/>
        </w:rPr>
        <w:t>. Relación del marco legal internacional sobre gestión y manejo del material estéril en minería.</w:t>
      </w:r>
      <w:bookmarkEnd w:id="81"/>
    </w:p>
    <w:tbl>
      <w:tblPr>
        <w:tblStyle w:val="Tablaconcuadrcula"/>
        <w:tblW w:w="12191" w:type="dxa"/>
        <w:jc w:val="center"/>
        <w:tblLook w:val="04A0" w:firstRow="1" w:lastRow="0" w:firstColumn="1" w:lastColumn="0" w:noHBand="0" w:noVBand="1"/>
      </w:tblPr>
      <w:tblGrid>
        <w:gridCol w:w="1628"/>
        <w:gridCol w:w="2190"/>
        <w:gridCol w:w="2341"/>
        <w:gridCol w:w="1349"/>
        <w:gridCol w:w="4683"/>
      </w:tblGrid>
      <w:tr w:rsidR="00353A4E" w:rsidRPr="00AB1C80" w14:paraId="2ACD91F2" w14:textId="77777777" w:rsidTr="00353A4E">
        <w:trPr>
          <w:trHeight w:val="20"/>
          <w:tblHeader/>
          <w:jc w:val="center"/>
        </w:trPr>
        <w:tc>
          <w:tcPr>
            <w:tcW w:w="1628" w:type="dxa"/>
            <w:shd w:val="clear" w:color="auto" w:fill="1E345C"/>
            <w:vAlign w:val="center"/>
          </w:tcPr>
          <w:p w14:paraId="6766A2E9" w14:textId="77777777" w:rsidR="00353A4E" w:rsidRPr="00AB1C80" w:rsidRDefault="00353A4E"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País</w:t>
            </w:r>
          </w:p>
        </w:tc>
        <w:tc>
          <w:tcPr>
            <w:tcW w:w="2190" w:type="dxa"/>
            <w:shd w:val="clear" w:color="auto" w:fill="1E345C"/>
            <w:vAlign w:val="center"/>
          </w:tcPr>
          <w:p w14:paraId="67849FE8" w14:textId="77777777" w:rsidR="00353A4E" w:rsidRPr="00AB1C80" w:rsidRDefault="00353A4E"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Norma</w:t>
            </w:r>
          </w:p>
        </w:tc>
        <w:tc>
          <w:tcPr>
            <w:tcW w:w="2341" w:type="dxa"/>
            <w:shd w:val="clear" w:color="auto" w:fill="1E345C"/>
            <w:vAlign w:val="center"/>
          </w:tcPr>
          <w:p w14:paraId="65F76A42" w14:textId="77777777" w:rsidR="00353A4E" w:rsidRPr="00AB1C80" w:rsidRDefault="00353A4E"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Autor</w:t>
            </w:r>
          </w:p>
        </w:tc>
        <w:tc>
          <w:tcPr>
            <w:tcW w:w="1349" w:type="dxa"/>
            <w:shd w:val="clear" w:color="auto" w:fill="1E345C"/>
            <w:vAlign w:val="center"/>
          </w:tcPr>
          <w:p w14:paraId="5FB46427" w14:textId="77777777" w:rsidR="00353A4E" w:rsidRPr="00AB1C80" w:rsidRDefault="00353A4E"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Fecha de Expedición</w:t>
            </w:r>
          </w:p>
        </w:tc>
        <w:tc>
          <w:tcPr>
            <w:tcW w:w="4683" w:type="dxa"/>
            <w:shd w:val="clear" w:color="auto" w:fill="1E345C"/>
            <w:vAlign w:val="center"/>
          </w:tcPr>
          <w:p w14:paraId="267327E0" w14:textId="77777777" w:rsidR="00353A4E" w:rsidRPr="00AB1C80" w:rsidRDefault="00353A4E" w:rsidP="00AB1C80">
            <w:pPr>
              <w:spacing w:line="276" w:lineRule="auto"/>
              <w:jc w:val="center"/>
              <w:rPr>
                <w:rFonts w:cs="Arial"/>
                <w:b/>
                <w:bCs/>
                <w:color w:val="FFFFFF" w:themeColor="background1"/>
                <w:sz w:val="18"/>
                <w:szCs w:val="18"/>
              </w:rPr>
            </w:pPr>
            <w:r w:rsidRPr="00AB1C80">
              <w:rPr>
                <w:rFonts w:cs="Arial"/>
                <w:b/>
                <w:bCs/>
                <w:color w:val="FFFFFF" w:themeColor="background1"/>
                <w:sz w:val="18"/>
                <w:szCs w:val="18"/>
              </w:rPr>
              <w:t>Aspecto de interés abordado</w:t>
            </w:r>
          </w:p>
        </w:tc>
      </w:tr>
      <w:tr w:rsidR="00353A4E" w:rsidRPr="00AB1C80" w14:paraId="5181854A" w14:textId="77777777" w:rsidTr="00353A4E">
        <w:trPr>
          <w:trHeight w:val="20"/>
          <w:jc w:val="center"/>
        </w:trPr>
        <w:tc>
          <w:tcPr>
            <w:tcW w:w="12191" w:type="dxa"/>
            <w:gridSpan w:val="5"/>
            <w:shd w:val="clear" w:color="auto" w:fill="8EAADB" w:themeFill="accent5" w:themeFillTint="99"/>
            <w:vAlign w:val="center"/>
          </w:tcPr>
          <w:p w14:paraId="2B64B507" w14:textId="77777777" w:rsidR="00353A4E" w:rsidRPr="00AB1C80" w:rsidRDefault="00353A4E" w:rsidP="00AB1C80">
            <w:pPr>
              <w:spacing w:line="276" w:lineRule="auto"/>
              <w:jc w:val="center"/>
              <w:rPr>
                <w:rFonts w:cs="Arial"/>
                <w:b/>
                <w:bCs/>
                <w:sz w:val="18"/>
                <w:szCs w:val="18"/>
              </w:rPr>
            </w:pPr>
            <w:r w:rsidRPr="00AB1C80">
              <w:rPr>
                <w:rFonts w:cs="Arial"/>
                <w:b/>
                <w:bCs/>
                <w:sz w:val="18"/>
                <w:szCs w:val="18"/>
              </w:rPr>
              <w:t>Europa</w:t>
            </w:r>
          </w:p>
        </w:tc>
      </w:tr>
      <w:tr w:rsidR="00353A4E" w:rsidRPr="00AB1C80" w14:paraId="4C1D1AF1" w14:textId="77777777" w:rsidTr="00353A4E">
        <w:trPr>
          <w:trHeight w:val="20"/>
          <w:jc w:val="center"/>
        </w:trPr>
        <w:tc>
          <w:tcPr>
            <w:tcW w:w="1628" w:type="dxa"/>
            <w:vAlign w:val="center"/>
          </w:tcPr>
          <w:p w14:paraId="70E3471D" w14:textId="77777777" w:rsidR="00353A4E" w:rsidRPr="00AB1C80" w:rsidRDefault="00353A4E" w:rsidP="00AB1C80">
            <w:pPr>
              <w:spacing w:line="276" w:lineRule="auto"/>
              <w:jc w:val="center"/>
              <w:rPr>
                <w:rFonts w:cs="Arial"/>
                <w:sz w:val="18"/>
                <w:szCs w:val="18"/>
              </w:rPr>
            </w:pPr>
            <w:r w:rsidRPr="00AB1C80">
              <w:rPr>
                <w:rFonts w:cs="Arial"/>
                <w:sz w:val="18"/>
                <w:szCs w:val="18"/>
              </w:rPr>
              <w:t>Unión Europea</w:t>
            </w:r>
          </w:p>
        </w:tc>
        <w:tc>
          <w:tcPr>
            <w:tcW w:w="2190" w:type="dxa"/>
            <w:vAlign w:val="center"/>
          </w:tcPr>
          <w:p w14:paraId="5A2C1E91" w14:textId="77777777" w:rsidR="00353A4E" w:rsidRPr="00AB1C80" w:rsidRDefault="00353A4E" w:rsidP="00AB1C80">
            <w:pPr>
              <w:spacing w:line="276" w:lineRule="auto"/>
              <w:jc w:val="center"/>
              <w:rPr>
                <w:rFonts w:cs="Arial"/>
                <w:sz w:val="18"/>
                <w:szCs w:val="18"/>
              </w:rPr>
            </w:pPr>
            <w:r w:rsidRPr="00AB1C80">
              <w:rPr>
                <w:rFonts w:cs="Arial"/>
                <w:sz w:val="18"/>
                <w:szCs w:val="18"/>
              </w:rPr>
              <w:t>Directiva del Consejo 75/442/CEE</w:t>
            </w:r>
          </w:p>
        </w:tc>
        <w:tc>
          <w:tcPr>
            <w:tcW w:w="2341" w:type="dxa"/>
            <w:vAlign w:val="center"/>
          </w:tcPr>
          <w:p w14:paraId="699D8467" w14:textId="77777777" w:rsidR="00353A4E" w:rsidRPr="00AB1C80" w:rsidRDefault="00353A4E" w:rsidP="00AB1C80">
            <w:pPr>
              <w:spacing w:line="276" w:lineRule="auto"/>
              <w:jc w:val="center"/>
              <w:rPr>
                <w:rFonts w:cs="Arial"/>
                <w:sz w:val="18"/>
                <w:szCs w:val="18"/>
              </w:rPr>
            </w:pPr>
            <w:r w:rsidRPr="00AB1C80">
              <w:rPr>
                <w:rFonts w:cs="Arial"/>
                <w:sz w:val="18"/>
                <w:szCs w:val="18"/>
              </w:rPr>
              <w:t>Consejo Económica Europea – Unión Europea</w:t>
            </w:r>
          </w:p>
        </w:tc>
        <w:tc>
          <w:tcPr>
            <w:tcW w:w="1349" w:type="dxa"/>
            <w:vAlign w:val="center"/>
          </w:tcPr>
          <w:p w14:paraId="5AED5A8D" w14:textId="77777777" w:rsidR="00353A4E" w:rsidRPr="00AB1C80" w:rsidRDefault="00353A4E" w:rsidP="00AB1C80">
            <w:pPr>
              <w:spacing w:line="276" w:lineRule="auto"/>
              <w:jc w:val="center"/>
              <w:rPr>
                <w:rFonts w:cs="Arial"/>
                <w:sz w:val="18"/>
                <w:szCs w:val="18"/>
              </w:rPr>
            </w:pPr>
            <w:r w:rsidRPr="00AB1C80">
              <w:rPr>
                <w:rFonts w:cs="Arial"/>
                <w:sz w:val="18"/>
                <w:szCs w:val="18"/>
              </w:rPr>
              <w:t>1975</w:t>
            </w:r>
          </w:p>
        </w:tc>
        <w:tc>
          <w:tcPr>
            <w:tcW w:w="4683" w:type="dxa"/>
            <w:vAlign w:val="center"/>
          </w:tcPr>
          <w:p w14:paraId="5EB7CC15" w14:textId="77777777" w:rsidR="00353A4E" w:rsidRPr="00AB1C80" w:rsidRDefault="00353A4E" w:rsidP="00AB1C80">
            <w:pPr>
              <w:spacing w:line="276" w:lineRule="auto"/>
              <w:jc w:val="center"/>
              <w:rPr>
                <w:rFonts w:cs="Arial"/>
                <w:sz w:val="18"/>
                <w:szCs w:val="18"/>
              </w:rPr>
            </w:pPr>
            <w:r w:rsidRPr="00AB1C80">
              <w:rPr>
                <w:rFonts w:cs="Arial"/>
                <w:sz w:val="18"/>
                <w:szCs w:val="18"/>
              </w:rPr>
              <w:t>Directriz relativa a los residuos</w:t>
            </w:r>
          </w:p>
        </w:tc>
      </w:tr>
      <w:tr w:rsidR="00353A4E" w:rsidRPr="00AB1C80" w14:paraId="48C2F5E2" w14:textId="77777777" w:rsidTr="00353A4E">
        <w:trPr>
          <w:trHeight w:val="20"/>
          <w:jc w:val="center"/>
        </w:trPr>
        <w:tc>
          <w:tcPr>
            <w:tcW w:w="1628" w:type="dxa"/>
            <w:vAlign w:val="center"/>
          </w:tcPr>
          <w:p w14:paraId="139F7D2D" w14:textId="77777777" w:rsidR="00353A4E" w:rsidRPr="00AB1C80" w:rsidRDefault="00353A4E" w:rsidP="00AB1C80">
            <w:pPr>
              <w:spacing w:line="276" w:lineRule="auto"/>
              <w:jc w:val="center"/>
              <w:rPr>
                <w:rFonts w:cs="Arial"/>
                <w:sz w:val="18"/>
                <w:szCs w:val="18"/>
              </w:rPr>
            </w:pPr>
            <w:r w:rsidRPr="00AB1C80">
              <w:rPr>
                <w:rFonts w:cs="Arial"/>
                <w:sz w:val="18"/>
                <w:szCs w:val="18"/>
              </w:rPr>
              <w:t>Unión Europea</w:t>
            </w:r>
          </w:p>
        </w:tc>
        <w:tc>
          <w:tcPr>
            <w:tcW w:w="2190" w:type="dxa"/>
            <w:vAlign w:val="center"/>
          </w:tcPr>
          <w:p w14:paraId="6891D0DB" w14:textId="77777777" w:rsidR="00353A4E" w:rsidRPr="00AB1C80" w:rsidRDefault="00353A4E" w:rsidP="00AB1C80">
            <w:pPr>
              <w:spacing w:line="276" w:lineRule="auto"/>
              <w:jc w:val="center"/>
              <w:rPr>
                <w:rFonts w:cs="Arial"/>
                <w:sz w:val="18"/>
                <w:szCs w:val="18"/>
              </w:rPr>
            </w:pPr>
            <w:r w:rsidRPr="00AB1C80">
              <w:rPr>
                <w:rFonts w:cs="Arial"/>
                <w:sz w:val="18"/>
                <w:szCs w:val="18"/>
              </w:rPr>
              <w:t>Directiva 2006/21/CE</w:t>
            </w:r>
          </w:p>
        </w:tc>
        <w:tc>
          <w:tcPr>
            <w:tcW w:w="2341" w:type="dxa"/>
            <w:vAlign w:val="center"/>
          </w:tcPr>
          <w:p w14:paraId="3D065386" w14:textId="77777777" w:rsidR="00353A4E" w:rsidRPr="00AB1C80" w:rsidRDefault="00353A4E" w:rsidP="00AB1C80">
            <w:pPr>
              <w:spacing w:line="276" w:lineRule="auto"/>
              <w:jc w:val="center"/>
              <w:rPr>
                <w:rFonts w:cs="Arial"/>
                <w:sz w:val="18"/>
                <w:szCs w:val="18"/>
              </w:rPr>
            </w:pPr>
            <w:r w:rsidRPr="00AB1C80">
              <w:rPr>
                <w:rFonts w:cs="Arial"/>
                <w:sz w:val="18"/>
                <w:szCs w:val="18"/>
              </w:rPr>
              <w:t>Consejo Europeo – Unión Europea</w:t>
            </w:r>
          </w:p>
        </w:tc>
        <w:tc>
          <w:tcPr>
            <w:tcW w:w="1349" w:type="dxa"/>
            <w:vAlign w:val="center"/>
          </w:tcPr>
          <w:p w14:paraId="36BF2016" w14:textId="77777777" w:rsidR="00353A4E" w:rsidRPr="00AB1C80" w:rsidRDefault="00353A4E" w:rsidP="00AB1C80">
            <w:pPr>
              <w:spacing w:line="276" w:lineRule="auto"/>
              <w:jc w:val="center"/>
              <w:rPr>
                <w:rFonts w:cs="Arial"/>
                <w:sz w:val="18"/>
                <w:szCs w:val="18"/>
              </w:rPr>
            </w:pPr>
            <w:r w:rsidRPr="00AB1C80">
              <w:rPr>
                <w:rFonts w:cs="Arial"/>
                <w:sz w:val="18"/>
                <w:szCs w:val="18"/>
              </w:rPr>
              <w:t>2006</w:t>
            </w:r>
          </w:p>
        </w:tc>
        <w:tc>
          <w:tcPr>
            <w:tcW w:w="4683" w:type="dxa"/>
          </w:tcPr>
          <w:p w14:paraId="5D3EAEC0" w14:textId="77777777" w:rsidR="00353A4E" w:rsidRPr="00AB1C80" w:rsidRDefault="00353A4E" w:rsidP="00AB1C80">
            <w:pPr>
              <w:spacing w:line="276" w:lineRule="auto"/>
              <w:jc w:val="center"/>
              <w:rPr>
                <w:rFonts w:cs="Arial"/>
                <w:sz w:val="18"/>
                <w:szCs w:val="18"/>
              </w:rPr>
            </w:pPr>
            <w:r w:rsidRPr="00AB1C80">
              <w:rPr>
                <w:rFonts w:cs="Arial"/>
                <w:sz w:val="18"/>
                <w:szCs w:val="18"/>
              </w:rPr>
              <w:t>Gestión de los residuos de industrias extractivas y por la que se modifica la Directiva</w:t>
            </w:r>
          </w:p>
        </w:tc>
      </w:tr>
      <w:tr w:rsidR="00353A4E" w:rsidRPr="00AB1C80" w14:paraId="17C71691" w14:textId="77777777" w:rsidTr="00353A4E">
        <w:trPr>
          <w:trHeight w:val="20"/>
          <w:jc w:val="center"/>
        </w:trPr>
        <w:tc>
          <w:tcPr>
            <w:tcW w:w="1628" w:type="dxa"/>
            <w:vAlign w:val="center"/>
          </w:tcPr>
          <w:p w14:paraId="7A5FBBC9" w14:textId="77777777" w:rsidR="00353A4E" w:rsidRPr="00AB1C80" w:rsidRDefault="00353A4E" w:rsidP="00AB1C80">
            <w:pPr>
              <w:spacing w:line="276" w:lineRule="auto"/>
              <w:jc w:val="center"/>
              <w:rPr>
                <w:rFonts w:cs="Arial"/>
                <w:sz w:val="18"/>
                <w:szCs w:val="18"/>
              </w:rPr>
            </w:pPr>
            <w:r w:rsidRPr="00AB1C80">
              <w:rPr>
                <w:rFonts w:cs="Arial"/>
                <w:sz w:val="18"/>
                <w:szCs w:val="18"/>
              </w:rPr>
              <w:t>Reino Unido</w:t>
            </w:r>
          </w:p>
        </w:tc>
        <w:tc>
          <w:tcPr>
            <w:tcW w:w="2190" w:type="dxa"/>
            <w:vAlign w:val="center"/>
          </w:tcPr>
          <w:p w14:paraId="45B4024F" w14:textId="42A5FAAB" w:rsidR="00353A4E" w:rsidRPr="00AB1C80" w:rsidRDefault="00353A4E" w:rsidP="00AB1C80">
            <w:pPr>
              <w:spacing w:line="276" w:lineRule="auto"/>
              <w:jc w:val="center"/>
              <w:rPr>
                <w:rFonts w:cs="Arial"/>
                <w:sz w:val="18"/>
                <w:szCs w:val="18"/>
              </w:rPr>
            </w:pPr>
            <w:r w:rsidRPr="00AB1C80">
              <w:rPr>
                <w:rFonts w:cs="Arial"/>
                <w:sz w:val="18"/>
                <w:szCs w:val="18"/>
              </w:rPr>
              <w:t xml:space="preserve">No. 64, Scotland, The Management </w:t>
            </w:r>
            <w:r w:rsidR="00A54D0A" w:rsidRPr="00AB1C80">
              <w:rPr>
                <w:rFonts w:cs="Arial"/>
                <w:sz w:val="18"/>
                <w:szCs w:val="18"/>
              </w:rPr>
              <w:t>Of</w:t>
            </w:r>
            <w:r w:rsidRPr="00AB1C80">
              <w:rPr>
                <w:rFonts w:cs="Arial"/>
                <w:sz w:val="18"/>
                <w:szCs w:val="18"/>
              </w:rPr>
              <w:t xml:space="preserve"> Extractive Waste </w:t>
            </w:r>
            <w:proofErr w:type="spellStart"/>
            <w:r w:rsidRPr="00AB1C80">
              <w:rPr>
                <w:rFonts w:cs="Arial"/>
                <w:sz w:val="18"/>
                <w:szCs w:val="18"/>
              </w:rPr>
              <w:t>Regulations</w:t>
            </w:r>
            <w:proofErr w:type="spellEnd"/>
          </w:p>
        </w:tc>
        <w:tc>
          <w:tcPr>
            <w:tcW w:w="2341" w:type="dxa"/>
            <w:vAlign w:val="center"/>
          </w:tcPr>
          <w:p w14:paraId="25C966F2" w14:textId="77777777" w:rsidR="00353A4E" w:rsidRPr="00AB1C80" w:rsidRDefault="00353A4E" w:rsidP="00AB1C80">
            <w:pPr>
              <w:spacing w:line="276" w:lineRule="auto"/>
              <w:jc w:val="center"/>
              <w:rPr>
                <w:rFonts w:cs="Arial"/>
                <w:sz w:val="18"/>
                <w:szCs w:val="18"/>
              </w:rPr>
            </w:pPr>
            <w:r w:rsidRPr="00AB1C80">
              <w:rPr>
                <w:rFonts w:cs="Arial"/>
                <w:sz w:val="18"/>
                <w:szCs w:val="18"/>
              </w:rPr>
              <w:t>Instituto Estatutario Escoses</w:t>
            </w:r>
          </w:p>
        </w:tc>
        <w:tc>
          <w:tcPr>
            <w:tcW w:w="1349" w:type="dxa"/>
            <w:vAlign w:val="center"/>
          </w:tcPr>
          <w:p w14:paraId="3A7F0803" w14:textId="77777777" w:rsidR="00353A4E" w:rsidRPr="00AB1C80" w:rsidRDefault="00353A4E" w:rsidP="00AB1C80">
            <w:pPr>
              <w:spacing w:line="276" w:lineRule="auto"/>
              <w:jc w:val="center"/>
              <w:rPr>
                <w:rFonts w:cs="Arial"/>
                <w:sz w:val="18"/>
                <w:szCs w:val="18"/>
              </w:rPr>
            </w:pPr>
            <w:r w:rsidRPr="00AB1C80">
              <w:rPr>
                <w:rFonts w:cs="Arial"/>
                <w:sz w:val="18"/>
                <w:szCs w:val="18"/>
              </w:rPr>
              <w:t>2010</w:t>
            </w:r>
          </w:p>
        </w:tc>
        <w:tc>
          <w:tcPr>
            <w:tcW w:w="4683" w:type="dxa"/>
            <w:vAlign w:val="center"/>
          </w:tcPr>
          <w:p w14:paraId="36633A79" w14:textId="77777777" w:rsidR="00353A4E" w:rsidRPr="00AB1C80" w:rsidRDefault="00353A4E" w:rsidP="00AB1C80">
            <w:pPr>
              <w:spacing w:line="276" w:lineRule="auto"/>
              <w:jc w:val="center"/>
              <w:rPr>
                <w:rFonts w:cs="Arial"/>
                <w:sz w:val="18"/>
                <w:szCs w:val="18"/>
              </w:rPr>
            </w:pPr>
            <w:r w:rsidRPr="00AB1C80">
              <w:rPr>
                <w:rFonts w:cs="Arial"/>
                <w:sz w:val="18"/>
                <w:szCs w:val="18"/>
              </w:rPr>
              <w:t>Establece el reglamento de gestión de residuos extractivos</w:t>
            </w:r>
          </w:p>
        </w:tc>
      </w:tr>
      <w:tr w:rsidR="00353A4E" w:rsidRPr="00AB1C80" w14:paraId="783F9810" w14:textId="77777777" w:rsidTr="00353A4E">
        <w:trPr>
          <w:trHeight w:val="20"/>
          <w:jc w:val="center"/>
        </w:trPr>
        <w:tc>
          <w:tcPr>
            <w:tcW w:w="1628" w:type="dxa"/>
            <w:vAlign w:val="center"/>
          </w:tcPr>
          <w:p w14:paraId="4BB96DA6" w14:textId="77777777" w:rsidR="00353A4E" w:rsidRPr="00AB1C80" w:rsidRDefault="00353A4E" w:rsidP="00AB1C80">
            <w:pPr>
              <w:spacing w:line="276" w:lineRule="auto"/>
              <w:jc w:val="center"/>
              <w:rPr>
                <w:rFonts w:cs="Arial"/>
                <w:sz w:val="18"/>
                <w:szCs w:val="18"/>
              </w:rPr>
            </w:pPr>
            <w:r w:rsidRPr="00AB1C80">
              <w:rPr>
                <w:rFonts w:cs="Arial"/>
                <w:sz w:val="18"/>
                <w:szCs w:val="18"/>
              </w:rPr>
              <w:t>España</w:t>
            </w:r>
          </w:p>
        </w:tc>
        <w:tc>
          <w:tcPr>
            <w:tcW w:w="2190" w:type="dxa"/>
            <w:vAlign w:val="center"/>
          </w:tcPr>
          <w:p w14:paraId="23B06341" w14:textId="77777777" w:rsidR="00353A4E" w:rsidRPr="00AB1C80" w:rsidRDefault="00353A4E" w:rsidP="00AB1C80">
            <w:pPr>
              <w:spacing w:line="276" w:lineRule="auto"/>
              <w:jc w:val="center"/>
              <w:rPr>
                <w:rFonts w:cs="Arial"/>
                <w:sz w:val="18"/>
                <w:szCs w:val="18"/>
              </w:rPr>
            </w:pPr>
            <w:r w:rsidRPr="00AB1C80">
              <w:rPr>
                <w:rFonts w:cs="Arial"/>
                <w:sz w:val="18"/>
                <w:szCs w:val="18"/>
              </w:rPr>
              <w:t>Real Decreto 975/2009</w:t>
            </w:r>
          </w:p>
        </w:tc>
        <w:tc>
          <w:tcPr>
            <w:tcW w:w="2341" w:type="dxa"/>
            <w:vAlign w:val="center"/>
          </w:tcPr>
          <w:p w14:paraId="40DC884F"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la Presidencia</w:t>
            </w:r>
          </w:p>
        </w:tc>
        <w:tc>
          <w:tcPr>
            <w:tcW w:w="1349" w:type="dxa"/>
            <w:vAlign w:val="center"/>
          </w:tcPr>
          <w:p w14:paraId="6766146A" w14:textId="77777777" w:rsidR="00353A4E" w:rsidRPr="00AB1C80" w:rsidRDefault="00353A4E" w:rsidP="00AB1C80">
            <w:pPr>
              <w:spacing w:line="276" w:lineRule="auto"/>
              <w:jc w:val="center"/>
              <w:rPr>
                <w:rFonts w:cs="Arial"/>
                <w:sz w:val="18"/>
                <w:szCs w:val="18"/>
              </w:rPr>
            </w:pPr>
            <w:r w:rsidRPr="00AB1C80">
              <w:rPr>
                <w:rFonts w:cs="Arial"/>
                <w:sz w:val="18"/>
                <w:szCs w:val="18"/>
              </w:rPr>
              <w:t>2009</w:t>
            </w:r>
          </w:p>
        </w:tc>
        <w:tc>
          <w:tcPr>
            <w:tcW w:w="4683" w:type="dxa"/>
          </w:tcPr>
          <w:p w14:paraId="522A1EEB" w14:textId="77777777" w:rsidR="00353A4E" w:rsidRPr="00AB1C80" w:rsidRDefault="00353A4E" w:rsidP="00AB1C80">
            <w:pPr>
              <w:spacing w:line="276" w:lineRule="auto"/>
              <w:jc w:val="center"/>
              <w:rPr>
                <w:rFonts w:cs="Arial"/>
                <w:sz w:val="18"/>
                <w:szCs w:val="18"/>
              </w:rPr>
            </w:pPr>
            <w:r w:rsidRPr="00AB1C80">
              <w:rPr>
                <w:rFonts w:cs="Arial"/>
                <w:sz w:val="18"/>
                <w:szCs w:val="18"/>
              </w:rPr>
              <w:t>Gestión de los residuos de las</w:t>
            </w:r>
          </w:p>
          <w:p w14:paraId="34F0F33D" w14:textId="77777777" w:rsidR="00353A4E" w:rsidRPr="00AB1C80" w:rsidRDefault="00353A4E" w:rsidP="00AB1C80">
            <w:pPr>
              <w:spacing w:line="276" w:lineRule="auto"/>
              <w:jc w:val="center"/>
              <w:rPr>
                <w:rFonts w:cs="Arial"/>
                <w:sz w:val="18"/>
                <w:szCs w:val="18"/>
              </w:rPr>
            </w:pPr>
            <w:r w:rsidRPr="00AB1C80">
              <w:rPr>
                <w:rFonts w:cs="Arial"/>
                <w:sz w:val="18"/>
                <w:szCs w:val="18"/>
              </w:rPr>
              <w:t>industrias extractivas y de protección y rehabilitación del espacio afectado por</w:t>
            </w:r>
          </w:p>
          <w:p w14:paraId="1AB04B25" w14:textId="77777777" w:rsidR="00353A4E" w:rsidRPr="00AB1C80" w:rsidRDefault="00353A4E" w:rsidP="00AB1C80">
            <w:pPr>
              <w:spacing w:line="276" w:lineRule="auto"/>
              <w:jc w:val="center"/>
              <w:rPr>
                <w:rFonts w:cs="Arial"/>
                <w:sz w:val="18"/>
                <w:szCs w:val="18"/>
              </w:rPr>
            </w:pPr>
            <w:r w:rsidRPr="00AB1C80">
              <w:rPr>
                <w:rFonts w:cs="Arial"/>
                <w:sz w:val="18"/>
                <w:szCs w:val="18"/>
              </w:rPr>
              <w:t>actividades mineras.</w:t>
            </w:r>
          </w:p>
        </w:tc>
      </w:tr>
      <w:tr w:rsidR="00353A4E" w:rsidRPr="00AB1C80" w14:paraId="7EF8454C" w14:textId="77777777" w:rsidTr="00353A4E">
        <w:trPr>
          <w:trHeight w:val="20"/>
          <w:jc w:val="center"/>
        </w:trPr>
        <w:tc>
          <w:tcPr>
            <w:tcW w:w="12191" w:type="dxa"/>
            <w:gridSpan w:val="5"/>
            <w:shd w:val="clear" w:color="auto" w:fill="8EAADB" w:themeFill="accent5" w:themeFillTint="99"/>
            <w:vAlign w:val="center"/>
          </w:tcPr>
          <w:p w14:paraId="3AB9A4E9" w14:textId="77777777" w:rsidR="00353A4E" w:rsidRPr="00AB1C80" w:rsidRDefault="00353A4E" w:rsidP="00AB1C80">
            <w:pPr>
              <w:spacing w:line="276" w:lineRule="auto"/>
              <w:jc w:val="center"/>
              <w:rPr>
                <w:rFonts w:cs="Arial"/>
                <w:b/>
                <w:bCs/>
                <w:sz w:val="18"/>
                <w:szCs w:val="18"/>
              </w:rPr>
            </w:pPr>
            <w:r w:rsidRPr="00AB1C80">
              <w:rPr>
                <w:rFonts w:cs="Arial"/>
                <w:b/>
                <w:bCs/>
                <w:sz w:val="18"/>
                <w:szCs w:val="18"/>
              </w:rPr>
              <w:t>Latinoamérica</w:t>
            </w:r>
          </w:p>
        </w:tc>
      </w:tr>
      <w:tr w:rsidR="00353A4E" w:rsidRPr="00AB1C80" w14:paraId="02BD4D15" w14:textId="77777777" w:rsidTr="00353A4E">
        <w:trPr>
          <w:trHeight w:val="20"/>
          <w:jc w:val="center"/>
        </w:trPr>
        <w:tc>
          <w:tcPr>
            <w:tcW w:w="1628" w:type="dxa"/>
            <w:vAlign w:val="center"/>
          </w:tcPr>
          <w:p w14:paraId="15877FD4" w14:textId="77777777" w:rsidR="00353A4E" w:rsidRPr="00AB1C80" w:rsidRDefault="00353A4E" w:rsidP="00AB1C80">
            <w:pPr>
              <w:spacing w:line="276" w:lineRule="auto"/>
              <w:jc w:val="center"/>
              <w:rPr>
                <w:rFonts w:cs="Arial"/>
                <w:sz w:val="18"/>
                <w:szCs w:val="18"/>
              </w:rPr>
            </w:pPr>
            <w:r w:rsidRPr="00AB1C80">
              <w:rPr>
                <w:rFonts w:cs="Arial"/>
                <w:sz w:val="18"/>
                <w:szCs w:val="18"/>
              </w:rPr>
              <w:t>Chile</w:t>
            </w:r>
          </w:p>
        </w:tc>
        <w:tc>
          <w:tcPr>
            <w:tcW w:w="2190" w:type="dxa"/>
            <w:vAlign w:val="center"/>
          </w:tcPr>
          <w:p w14:paraId="0A3FAE60" w14:textId="77777777" w:rsidR="00353A4E" w:rsidRPr="00AB1C80" w:rsidRDefault="00353A4E" w:rsidP="00AB1C80">
            <w:pPr>
              <w:spacing w:line="276" w:lineRule="auto"/>
              <w:jc w:val="center"/>
              <w:rPr>
                <w:rFonts w:cs="Arial"/>
                <w:sz w:val="18"/>
                <w:szCs w:val="18"/>
              </w:rPr>
            </w:pPr>
            <w:r w:rsidRPr="00AB1C80">
              <w:rPr>
                <w:rFonts w:cs="Arial"/>
                <w:sz w:val="18"/>
                <w:szCs w:val="18"/>
              </w:rPr>
              <w:t>Ley N° 19.300</w:t>
            </w:r>
          </w:p>
        </w:tc>
        <w:tc>
          <w:tcPr>
            <w:tcW w:w="2341" w:type="dxa"/>
            <w:vAlign w:val="center"/>
          </w:tcPr>
          <w:p w14:paraId="481161DB" w14:textId="77777777" w:rsidR="00353A4E" w:rsidRPr="00AB1C80" w:rsidRDefault="00353A4E" w:rsidP="00AB1C80">
            <w:pPr>
              <w:spacing w:line="276" w:lineRule="auto"/>
              <w:jc w:val="center"/>
              <w:rPr>
                <w:rFonts w:cs="Arial"/>
                <w:sz w:val="18"/>
                <w:szCs w:val="18"/>
              </w:rPr>
            </w:pPr>
            <w:r w:rsidRPr="00AB1C80">
              <w:rPr>
                <w:rFonts w:cs="Arial"/>
                <w:sz w:val="18"/>
                <w:szCs w:val="18"/>
              </w:rPr>
              <w:t>Comisión Nacional del</w:t>
            </w:r>
          </w:p>
          <w:p w14:paraId="5DE3E540" w14:textId="77777777" w:rsidR="00353A4E" w:rsidRPr="00AB1C80" w:rsidRDefault="00353A4E" w:rsidP="00AB1C80">
            <w:pPr>
              <w:spacing w:line="276" w:lineRule="auto"/>
              <w:jc w:val="center"/>
              <w:rPr>
                <w:rFonts w:cs="Arial"/>
                <w:sz w:val="18"/>
                <w:szCs w:val="18"/>
              </w:rPr>
            </w:pPr>
            <w:r w:rsidRPr="00AB1C80">
              <w:rPr>
                <w:rFonts w:cs="Arial"/>
                <w:sz w:val="18"/>
                <w:szCs w:val="18"/>
              </w:rPr>
              <w:t>Medio Ambiente</w:t>
            </w:r>
          </w:p>
        </w:tc>
        <w:tc>
          <w:tcPr>
            <w:tcW w:w="1349" w:type="dxa"/>
            <w:vAlign w:val="center"/>
          </w:tcPr>
          <w:p w14:paraId="0ADEA829" w14:textId="77777777" w:rsidR="00353A4E" w:rsidRPr="00AB1C80" w:rsidRDefault="00353A4E" w:rsidP="00AB1C80">
            <w:pPr>
              <w:spacing w:line="276" w:lineRule="auto"/>
              <w:jc w:val="center"/>
              <w:rPr>
                <w:rFonts w:cs="Arial"/>
                <w:sz w:val="18"/>
                <w:szCs w:val="18"/>
              </w:rPr>
            </w:pPr>
            <w:r w:rsidRPr="00AB1C80">
              <w:rPr>
                <w:rFonts w:cs="Arial"/>
                <w:sz w:val="18"/>
                <w:szCs w:val="18"/>
              </w:rPr>
              <w:t>1994</w:t>
            </w:r>
          </w:p>
        </w:tc>
        <w:tc>
          <w:tcPr>
            <w:tcW w:w="4683" w:type="dxa"/>
            <w:vAlign w:val="center"/>
          </w:tcPr>
          <w:p w14:paraId="1AE5F38E" w14:textId="77777777" w:rsidR="00353A4E" w:rsidRPr="00AB1C80" w:rsidRDefault="00353A4E" w:rsidP="00AB1C80">
            <w:pPr>
              <w:spacing w:line="276" w:lineRule="auto"/>
              <w:jc w:val="center"/>
              <w:rPr>
                <w:rFonts w:cs="Arial"/>
                <w:sz w:val="18"/>
                <w:szCs w:val="18"/>
              </w:rPr>
            </w:pPr>
            <w:r w:rsidRPr="00AB1C80">
              <w:rPr>
                <w:rFonts w:cs="Arial"/>
                <w:sz w:val="18"/>
                <w:szCs w:val="18"/>
              </w:rPr>
              <w:t>Regula los instrumentos de gestión ambiental, a través de ese se adoptan los Permisos Ambientales Sectoriales necesarios para el desarrollo de estructuras como escombreras</w:t>
            </w:r>
          </w:p>
        </w:tc>
      </w:tr>
      <w:tr w:rsidR="00353A4E" w:rsidRPr="00AB1C80" w14:paraId="69BA00C3" w14:textId="77777777" w:rsidTr="00353A4E">
        <w:trPr>
          <w:trHeight w:val="20"/>
          <w:jc w:val="center"/>
        </w:trPr>
        <w:tc>
          <w:tcPr>
            <w:tcW w:w="1628" w:type="dxa"/>
            <w:vAlign w:val="center"/>
          </w:tcPr>
          <w:p w14:paraId="3342BE79" w14:textId="77777777" w:rsidR="00353A4E" w:rsidRPr="00AB1C80" w:rsidRDefault="00353A4E" w:rsidP="00AB1C80">
            <w:pPr>
              <w:spacing w:line="276" w:lineRule="auto"/>
              <w:jc w:val="center"/>
              <w:rPr>
                <w:rFonts w:cs="Arial"/>
                <w:sz w:val="18"/>
                <w:szCs w:val="18"/>
              </w:rPr>
            </w:pPr>
            <w:r w:rsidRPr="00AB1C80">
              <w:rPr>
                <w:rFonts w:cs="Arial"/>
                <w:sz w:val="18"/>
                <w:szCs w:val="18"/>
              </w:rPr>
              <w:t>Chile</w:t>
            </w:r>
          </w:p>
        </w:tc>
        <w:tc>
          <w:tcPr>
            <w:tcW w:w="2190" w:type="dxa"/>
          </w:tcPr>
          <w:p w14:paraId="2292095E" w14:textId="77777777" w:rsidR="00353A4E" w:rsidRPr="00AB1C80" w:rsidRDefault="00353A4E" w:rsidP="00AB1C80">
            <w:pPr>
              <w:spacing w:line="276" w:lineRule="auto"/>
              <w:jc w:val="center"/>
              <w:rPr>
                <w:rFonts w:cs="Arial"/>
                <w:sz w:val="18"/>
                <w:szCs w:val="18"/>
              </w:rPr>
            </w:pPr>
            <w:r w:rsidRPr="00AB1C80">
              <w:rPr>
                <w:rFonts w:cs="Arial"/>
                <w:sz w:val="18"/>
                <w:szCs w:val="18"/>
              </w:rPr>
              <w:t>Ley 20551 Regula el cierre de faenas e instalaciones mineras</w:t>
            </w:r>
          </w:p>
        </w:tc>
        <w:tc>
          <w:tcPr>
            <w:tcW w:w="2341" w:type="dxa"/>
            <w:vAlign w:val="center"/>
          </w:tcPr>
          <w:p w14:paraId="577E2AB9"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Minería</w:t>
            </w:r>
          </w:p>
        </w:tc>
        <w:tc>
          <w:tcPr>
            <w:tcW w:w="1349" w:type="dxa"/>
            <w:vAlign w:val="center"/>
          </w:tcPr>
          <w:p w14:paraId="1E39D14D" w14:textId="77777777" w:rsidR="00353A4E" w:rsidRPr="00AB1C80" w:rsidRDefault="00353A4E" w:rsidP="00AB1C80">
            <w:pPr>
              <w:spacing w:line="276" w:lineRule="auto"/>
              <w:jc w:val="center"/>
              <w:rPr>
                <w:rFonts w:cs="Arial"/>
                <w:sz w:val="18"/>
                <w:szCs w:val="18"/>
              </w:rPr>
            </w:pPr>
            <w:r w:rsidRPr="00AB1C80">
              <w:rPr>
                <w:rFonts w:cs="Arial"/>
                <w:sz w:val="18"/>
                <w:szCs w:val="18"/>
              </w:rPr>
              <w:t>2010</w:t>
            </w:r>
          </w:p>
        </w:tc>
        <w:tc>
          <w:tcPr>
            <w:tcW w:w="4683" w:type="dxa"/>
            <w:vAlign w:val="center"/>
          </w:tcPr>
          <w:p w14:paraId="2B1F4580" w14:textId="77777777" w:rsidR="00353A4E" w:rsidRPr="00AB1C80" w:rsidRDefault="00353A4E" w:rsidP="00AB1C80">
            <w:pPr>
              <w:spacing w:line="276" w:lineRule="auto"/>
              <w:jc w:val="center"/>
              <w:rPr>
                <w:rFonts w:cs="Arial"/>
                <w:sz w:val="18"/>
                <w:szCs w:val="18"/>
              </w:rPr>
            </w:pPr>
            <w:r w:rsidRPr="00AB1C80">
              <w:rPr>
                <w:rFonts w:cs="Arial"/>
                <w:sz w:val="18"/>
                <w:szCs w:val="18"/>
              </w:rPr>
              <w:t>Establece las disposiciones para el cierre de instalaciones mineras</w:t>
            </w:r>
          </w:p>
        </w:tc>
      </w:tr>
      <w:tr w:rsidR="00353A4E" w:rsidRPr="00AB1C80" w14:paraId="7F32FF14" w14:textId="77777777" w:rsidTr="00353A4E">
        <w:trPr>
          <w:trHeight w:val="20"/>
          <w:jc w:val="center"/>
        </w:trPr>
        <w:tc>
          <w:tcPr>
            <w:tcW w:w="1628" w:type="dxa"/>
            <w:vAlign w:val="center"/>
          </w:tcPr>
          <w:p w14:paraId="1FBC1AB3" w14:textId="77777777" w:rsidR="00353A4E" w:rsidRPr="00AB1C80" w:rsidRDefault="00353A4E" w:rsidP="00AB1C80">
            <w:pPr>
              <w:spacing w:line="276" w:lineRule="auto"/>
              <w:jc w:val="center"/>
              <w:rPr>
                <w:rFonts w:cs="Arial"/>
                <w:sz w:val="18"/>
                <w:szCs w:val="18"/>
              </w:rPr>
            </w:pPr>
            <w:r w:rsidRPr="00AB1C80">
              <w:rPr>
                <w:rFonts w:cs="Arial"/>
                <w:sz w:val="18"/>
                <w:szCs w:val="18"/>
              </w:rPr>
              <w:t>Chile</w:t>
            </w:r>
          </w:p>
        </w:tc>
        <w:tc>
          <w:tcPr>
            <w:tcW w:w="2190" w:type="dxa"/>
          </w:tcPr>
          <w:p w14:paraId="0E59010C" w14:textId="4E4E1AB6" w:rsidR="00353A4E" w:rsidRPr="00AB1C80" w:rsidRDefault="00353A4E" w:rsidP="00AB1C80">
            <w:pPr>
              <w:spacing w:line="276" w:lineRule="auto"/>
              <w:jc w:val="center"/>
              <w:rPr>
                <w:rFonts w:cs="Arial"/>
                <w:sz w:val="18"/>
                <w:szCs w:val="18"/>
              </w:rPr>
            </w:pPr>
            <w:r w:rsidRPr="00AB1C80">
              <w:rPr>
                <w:rFonts w:cs="Arial"/>
                <w:sz w:val="18"/>
                <w:szCs w:val="18"/>
              </w:rPr>
              <w:t xml:space="preserve">Decreto Supremo </w:t>
            </w:r>
            <w:r w:rsidR="00A54D0A" w:rsidRPr="00AB1C80">
              <w:rPr>
                <w:rFonts w:cs="Arial"/>
                <w:sz w:val="18"/>
                <w:szCs w:val="18"/>
              </w:rPr>
              <w:t>N.º</w:t>
            </w:r>
            <w:r w:rsidRPr="00AB1C80">
              <w:rPr>
                <w:rFonts w:cs="Arial"/>
                <w:sz w:val="18"/>
                <w:szCs w:val="18"/>
              </w:rPr>
              <w:t xml:space="preserve"> 72</w:t>
            </w:r>
          </w:p>
        </w:tc>
        <w:tc>
          <w:tcPr>
            <w:tcW w:w="2341" w:type="dxa"/>
            <w:vAlign w:val="center"/>
          </w:tcPr>
          <w:p w14:paraId="0789EFCC"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Minería</w:t>
            </w:r>
          </w:p>
        </w:tc>
        <w:tc>
          <w:tcPr>
            <w:tcW w:w="1349" w:type="dxa"/>
            <w:vAlign w:val="center"/>
          </w:tcPr>
          <w:p w14:paraId="51C10EB2" w14:textId="77777777" w:rsidR="00353A4E" w:rsidRPr="00AB1C80" w:rsidRDefault="00353A4E" w:rsidP="00AB1C80">
            <w:pPr>
              <w:spacing w:line="276" w:lineRule="auto"/>
              <w:jc w:val="center"/>
              <w:rPr>
                <w:rFonts w:cs="Arial"/>
                <w:sz w:val="18"/>
                <w:szCs w:val="18"/>
              </w:rPr>
            </w:pPr>
            <w:r w:rsidRPr="00AB1C80">
              <w:rPr>
                <w:rFonts w:cs="Arial"/>
                <w:sz w:val="18"/>
                <w:szCs w:val="18"/>
              </w:rPr>
              <w:t>2004</w:t>
            </w:r>
          </w:p>
        </w:tc>
        <w:tc>
          <w:tcPr>
            <w:tcW w:w="4683" w:type="dxa"/>
            <w:vAlign w:val="center"/>
          </w:tcPr>
          <w:p w14:paraId="765D953B" w14:textId="77777777" w:rsidR="00353A4E" w:rsidRPr="00AB1C80" w:rsidRDefault="00353A4E" w:rsidP="00AB1C80">
            <w:pPr>
              <w:spacing w:line="276" w:lineRule="auto"/>
              <w:jc w:val="center"/>
              <w:rPr>
                <w:rFonts w:cs="Arial"/>
                <w:sz w:val="18"/>
                <w:szCs w:val="18"/>
              </w:rPr>
            </w:pPr>
            <w:r w:rsidRPr="00AB1C80">
              <w:rPr>
                <w:rFonts w:cs="Arial"/>
                <w:sz w:val="18"/>
                <w:szCs w:val="18"/>
              </w:rPr>
              <w:t>Establece disposiciones respecto al manejo y gestión del material estéril</w:t>
            </w:r>
          </w:p>
        </w:tc>
      </w:tr>
      <w:tr w:rsidR="00353A4E" w:rsidRPr="00AB1C80" w14:paraId="6B17FA39" w14:textId="77777777" w:rsidTr="00353A4E">
        <w:trPr>
          <w:trHeight w:val="20"/>
          <w:jc w:val="center"/>
        </w:trPr>
        <w:tc>
          <w:tcPr>
            <w:tcW w:w="1628" w:type="dxa"/>
            <w:vAlign w:val="center"/>
          </w:tcPr>
          <w:p w14:paraId="62708BD6" w14:textId="77777777" w:rsidR="00353A4E" w:rsidRPr="00AB1C80" w:rsidRDefault="00353A4E" w:rsidP="00AB1C80">
            <w:pPr>
              <w:spacing w:line="276" w:lineRule="auto"/>
              <w:jc w:val="center"/>
              <w:rPr>
                <w:rFonts w:cs="Arial"/>
                <w:sz w:val="18"/>
                <w:szCs w:val="18"/>
              </w:rPr>
            </w:pPr>
            <w:r w:rsidRPr="00AB1C80">
              <w:rPr>
                <w:rFonts w:cs="Arial"/>
                <w:sz w:val="18"/>
                <w:szCs w:val="18"/>
              </w:rPr>
              <w:t>Chile</w:t>
            </w:r>
          </w:p>
        </w:tc>
        <w:tc>
          <w:tcPr>
            <w:tcW w:w="2190" w:type="dxa"/>
          </w:tcPr>
          <w:p w14:paraId="12B18E66" w14:textId="77777777" w:rsidR="00353A4E" w:rsidRPr="00AB1C80" w:rsidRDefault="00353A4E" w:rsidP="00AB1C80">
            <w:pPr>
              <w:spacing w:line="276" w:lineRule="auto"/>
              <w:jc w:val="center"/>
              <w:rPr>
                <w:rFonts w:cs="Arial"/>
                <w:sz w:val="18"/>
                <w:szCs w:val="18"/>
              </w:rPr>
            </w:pPr>
            <w:r w:rsidRPr="00AB1C80">
              <w:rPr>
                <w:rStyle w:val="A5"/>
                <w:rFonts w:cs="Arial"/>
                <w:sz w:val="18"/>
                <w:szCs w:val="18"/>
              </w:rPr>
              <w:t xml:space="preserve">Decreto Supremo N° 41/2012 </w:t>
            </w:r>
          </w:p>
        </w:tc>
        <w:tc>
          <w:tcPr>
            <w:tcW w:w="2341" w:type="dxa"/>
            <w:vAlign w:val="center"/>
          </w:tcPr>
          <w:p w14:paraId="40B0A9FC" w14:textId="77777777" w:rsidR="00353A4E" w:rsidRPr="00AB1C80" w:rsidRDefault="00353A4E" w:rsidP="00AB1C80">
            <w:pPr>
              <w:spacing w:line="276" w:lineRule="auto"/>
              <w:jc w:val="center"/>
              <w:rPr>
                <w:rFonts w:cs="Arial"/>
                <w:sz w:val="18"/>
                <w:szCs w:val="18"/>
              </w:rPr>
            </w:pPr>
            <w:r w:rsidRPr="00AB1C80">
              <w:rPr>
                <w:rStyle w:val="A5"/>
                <w:rFonts w:cs="Arial"/>
                <w:sz w:val="18"/>
                <w:szCs w:val="18"/>
              </w:rPr>
              <w:t>Servicio Nacional de Geología y Minería (SERNAGEOMIN)</w:t>
            </w:r>
          </w:p>
        </w:tc>
        <w:tc>
          <w:tcPr>
            <w:tcW w:w="1349" w:type="dxa"/>
            <w:vAlign w:val="center"/>
          </w:tcPr>
          <w:p w14:paraId="5475F499" w14:textId="77777777" w:rsidR="00353A4E" w:rsidRPr="00AB1C80" w:rsidRDefault="00353A4E" w:rsidP="00AB1C80">
            <w:pPr>
              <w:spacing w:line="276" w:lineRule="auto"/>
              <w:jc w:val="center"/>
              <w:rPr>
                <w:rFonts w:cs="Arial"/>
                <w:sz w:val="18"/>
                <w:szCs w:val="18"/>
              </w:rPr>
            </w:pPr>
            <w:r w:rsidRPr="00AB1C80">
              <w:rPr>
                <w:rFonts w:cs="Arial"/>
                <w:sz w:val="18"/>
                <w:szCs w:val="18"/>
              </w:rPr>
              <w:t>2012</w:t>
            </w:r>
          </w:p>
        </w:tc>
        <w:tc>
          <w:tcPr>
            <w:tcW w:w="4683" w:type="dxa"/>
            <w:vAlign w:val="center"/>
          </w:tcPr>
          <w:p w14:paraId="4C35796F" w14:textId="77777777" w:rsidR="00353A4E" w:rsidRPr="00AB1C80" w:rsidRDefault="00353A4E" w:rsidP="00AB1C80">
            <w:pPr>
              <w:spacing w:line="276" w:lineRule="auto"/>
              <w:jc w:val="center"/>
              <w:rPr>
                <w:rStyle w:val="A5"/>
                <w:rFonts w:cs="Arial"/>
                <w:sz w:val="18"/>
                <w:szCs w:val="18"/>
              </w:rPr>
            </w:pPr>
            <w:r w:rsidRPr="00AB1C80">
              <w:rPr>
                <w:rStyle w:val="A5"/>
                <w:rFonts w:cs="Arial"/>
                <w:sz w:val="18"/>
                <w:szCs w:val="18"/>
              </w:rPr>
              <w:t>Reglamento de Cierre de Faenas e Instalaciones Mineras</w:t>
            </w:r>
          </w:p>
          <w:p w14:paraId="3A8067B9" w14:textId="77777777" w:rsidR="00353A4E" w:rsidRPr="00AB1C80" w:rsidRDefault="00353A4E" w:rsidP="00AB1C80">
            <w:pPr>
              <w:spacing w:line="276" w:lineRule="auto"/>
              <w:jc w:val="center"/>
              <w:rPr>
                <w:rFonts w:cs="Arial"/>
                <w:sz w:val="18"/>
                <w:szCs w:val="18"/>
              </w:rPr>
            </w:pPr>
            <w:r w:rsidRPr="00AB1C80">
              <w:rPr>
                <w:rStyle w:val="A5"/>
                <w:rFonts w:cs="Arial"/>
                <w:sz w:val="18"/>
                <w:szCs w:val="18"/>
              </w:rPr>
              <w:t>Dispone en su Artículo 17 que el SERNAGEOMIN puede “dictar guías metodológicas con el ob</w:t>
            </w:r>
            <w:r w:rsidRPr="00AB1C80">
              <w:rPr>
                <w:rStyle w:val="A5"/>
                <w:rFonts w:cs="Arial"/>
                <w:sz w:val="18"/>
                <w:szCs w:val="18"/>
              </w:rPr>
              <w:softHyphen/>
              <w:t>jeto de facilitar la evaluación y selección de medidas de cierre apropiadas por tipo de instalación”.</w:t>
            </w:r>
          </w:p>
        </w:tc>
      </w:tr>
      <w:tr w:rsidR="00353A4E" w:rsidRPr="00AB1C80" w14:paraId="09DEDA91" w14:textId="77777777" w:rsidTr="00353A4E">
        <w:trPr>
          <w:trHeight w:val="20"/>
          <w:jc w:val="center"/>
        </w:trPr>
        <w:tc>
          <w:tcPr>
            <w:tcW w:w="1628" w:type="dxa"/>
            <w:vAlign w:val="center"/>
          </w:tcPr>
          <w:p w14:paraId="11E74AA1" w14:textId="77777777" w:rsidR="00353A4E" w:rsidRPr="00AB1C80" w:rsidRDefault="00353A4E" w:rsidP="00AB1C80">
            <w:pPr>
              <w:spacing w:line="276" w:lineRule="auto"/>
              <w:jc w:val="center"/>
              <w:rPr>
                <w:rFonts w:cs="Arial"/>
                <w:sz w:val="18"/>
                <w:szCs w:val="18"/>
              </w:rPr>
            </w:pPr>
            <w:r w:rsidRPr="00AB1C80">
              <w:rPr>
                <w:rFonts w:cs="Arial"/>
                <w:sz w:val="18"/>
                <w:szCs w:val="18"/>
              </w:rPr>
              <w:t>Argentina</w:t>
            </w:r>
          </w:p>
        </w:tc>
        <w:tc>
          <w:tcPr>
            <w:tcW w:w="2190" w:type="dxa"/>
            <w:vAlign w:val="center"/>
          </w:tcPr>
          <w:p w14:paraId="7126C7F2" w14:textId="3D541410" w:rsidR="00353A4E" w:rsidRPr="00AB1C80" w:rsidRDefault="00353A4E" w:rsidP="00AB1C80">
            <w:pPr>
              <w:spacing w:line="276" w:lineRule="auto"/>
              <w:jc w:val="center"/>
              <w:rPr>
                <w:rFonts w:cs="Arial"/>
                <w:sz w:val="18"/>
                <w:szCs w:val="18"/>
              </w:rPr>
            </w:pPr>
            <w:r w:rsidRPr="00AB1C80">
              <w:rPr>
                <w:rFonts w:cs="Arial"/>
                <w:sz w:val="18"/>
                <w:szCs w:val="18"/>
              </w:rPr>
              <w:t xml:space="preserve">Ley </w:t>
            </w:r>
            <w:r w:rsidR="00A54D0A" w:rsidRPr="00AB1C80">
              <w:rPr>
                <w:rFonts w:cs="Arial"/>
                <w:sz w:val="18"/>
                <w:szCs w:val="18"/>
              </w:rPr>
              <w:t>N.º</w:t>
            </w:r>
            <w:r w:rsidRPr="00AB1C80">
              <w:rPr>
                <w:rFonts w:cs="Arial"/>
                <w:sz w:val="18"/>
                <w:szCs w:val="18"/>
              </w:rPr>
              <w:t xml:space="preserve"> 24.585 - Impacto ambiental de la actividad minera</w:t>
            </w:r>
          </w:p>
        </w:tc>
        <w:tc>
          <w:tcPr>
            <w:tcW w:w="2341" w:type="dxa"/>
            <w:vAlign w:val="center"/>
          </w:tcPr>
          <w:p w14:paraId="77D1775C" w14:textId="77777777" w:rsidR="00353A4E" w:rsidRPr="00AB1C80" w:rsidRDefault="00353A4E" w:rsidP="00AB1C80">
            <w:pPr>
              <w:spacing w:line="276" w:lineRule="auto"/>
              <w:jc w:val="center"/>
              <w:rPr>
                <w:rFonts w:cs="Arial"/>
                <w:sz w:val="18"/>
                <w:szCs w:val="18"/>
              </w:rPr>
            </w:pPr>
            <w:r w:rsidRPr="00AB1C80">
              <w:rPr>
                <w:rFonts w:cs="Arial"/>
                <w:sz w:val="18"/>
                <w:szCs w:val="18"/>
              </w:rPr>
              <w:t>Congreso de la Nación Argentina</w:t>
            </w:r>
          </w:p>
        </w:tc>
        <w:tc>
          <w:tcPr>
            <w:tcW w:w="1349" w:type="dxa"/>
            <w:vAlign w:val="center"/>
          </w:tcPr>
          <w:p w14:paraId="39DD0CB8" w14:textId="77777777" w:rsidR="00353A4E" w:rsidRPr="00AB1C80" w:rsidRDefault="00353A4E" w:rsidP="00AB1C80">
            <w:pPr>
              <w:spacing w:line="276" w:lineRule="auto"/>
              <w:jc w:val="center"/>
              <w:rPr>
                <w:rFonts w:cs="Arial"/>
                <w:sz w:val="18"/>
                <w:szCs w:val="18"/>
              </w:rPr>
            </w:pPr>
            <w:r w:rsidRPr="00AB1C80">
              <w:rPr>
                <w:rFonts w:cs="Arial"/>
                <w:sz w:val="18"/>
                <w:szCs w:val="18"/>
              </w:rPr>
              <w:t>1995</w:t>
            </w:r>
          </w:p>
        </w:tc>
        <w:tc>
          <w:tcPr>
            <w:tcW w:w="4683" w:type="dxa"/>
            <w:vAlign w:val="center"/>
          </w:tcPr>
          <w:p w14:paraId="703DB1E7" w14:textId="77777777" w:rsidR="00353A4E" w:rsidRPr="00AB1C80" w:rsidRDefault="00353A4E" w:rsidP="00AB1C80">
            <w:pPr>
              <w:spacing w:line="276" w:lineRule="auto"/>
              <w:jc w:val="center"/>
              <w:rPr>
                <w:rFonts w:cs="Arial"/>
                <w:sz w:val="18"/>
                <w:szCs w:val="18"/>
              </w:rPr>
            </w:pPr>
            <w:r w:rsidRPr="00AB1C80">
              <w:rPr>
                <w:rFonts w:cs="Arial"/>
                <w:sz w:val="18"/>
                <w:szCs w:val="18"/>
              </w:rPr>
              <w:t>Establece disposiciones respecto a la protección ambiental en el desarrollo de las actividades mineras</w:t>
            </w:r>
          </w:p>
        </w:tc>
      </w:tr>
      <w:tr w:rsidR="00353A4E" w:rsidRPr="00AB1C80" w14:paraId="5AE81BB6" w14:textId="77777777" w:rsidTr="00353A4E">
        <w:trPr>
          <w:trHeight w:val="20"/>
          <w:jc w:val="center"/>
        </w:trPr>
        <w:tc>
          <w:tcPr>
            <w:tcW w:w="1628" w:type="dxa"/>
            <w:vAlign w:val="center"/>
          </w:tcPr>
          <w:p w14:paraId="457392AA" w14:textId="77777777" w:rsidR="00353A4E" w:rsidRPr="00AB1C80" w:rsidRDefault="00353A4E" w:rsidP="00AB1C80">
            <w:pPr>
              <w:spacing w:line="276" w:lineRule="auto"/>
              <w:jc w:val="center"/>
              <w:rPr>
                <w:rFonts w:cs="Arial"/>
                <w:sz w:val="18"/>
                <w:szCs w:val="18"/>
              </w:rPr>
            </w:pPr>
            <w:r w:rsidRPr="00AB1C80">
              <w:rPr>
                <w:rFonts w:cs="Arial"/>
                <w:sz w:val="18"/>
                <w:szCs w:val="18"/>
              </w:rPr>
              <w:lastRenderedPageBreak/>
              <w:t>Argentina</w:t>
            </w:r>
          </w:p>
        </w:tc>
        <w:tc>
          <w:tcPr>
            <w:tcW w:w="2190" w:type="dxa"/>
            <w:vAlign w:val="center"/>
          </w:tcPr>
          <w:p w14:paraId="7DCE611D" w14:textId="77777777" w:rsidR="00353A4E" w:rsidRPr="00AB1C80" w:rsidRDefault="00353A4E" w:rsidP="00AB1C80">
            <w:pPr>
              <w:spacing w:line="276" w:lineRule="auto"/>
              <w:jc w:val="center"/>
              <w:rPr>
                <w:rFonts w:cs="Arial"/>
                <w:sz w:val="18"/>
                <w:szCs w:val="18"/>
              </w:rPr>
            </w:pPr>
            <w:r w:rsidRPr="00AB1C80">
              <w:rPr>
                <w:rFonts w:cs="Arial"/>
                <w:sz w:val="18"/>
                <w:szCs w:val="18"/>
              </w:rPr>
              <w:t xml:space="preserve">Ley N°1.919 </w:t>
            </w:r>
          </w:p>
        </w:tc>
        <w:tc>
          <w:tcPr>
            <w:tcW w:w="2341" w:type="dxa"/>
            <w:vAlign w:val="center"/>
          </w:tcPr>
          <w:p w14:paraId="7170A22C" w14:textId="77777777" w:rsidR="00353A4E" w:rsidRPr="00AB1C80" w:rsidRDefault="00353A4E" w:rsidP="00AB1C80">
            <w:pPr>
              <w:spacing w:line="276" w:lineRule="auto"/>
              <w:jc w:val="center"/>
              <w:rPr>
                <w:rFonts w:cs="Arial"/>
                <w:sz w:val="18"/>
                <w:szCs w:val="18"/>
              </w:rPr>
            </w:pPr>
            <w:r w:rsidRPr="00AB1C80">
              <w:rPr>
                <w:rFonts w:cs="Arial"/>
                <w:sz w:val="18"/>
                <w:szCs w:val="18"/>
              </w:rPr>
              <w:t>Senado y la Cámara de Diputados Argentina</w:t>
            </w:r>
          </w:p>
        </w:tc>
        <w:tc>
          <w:tcPr>
            <w:tcW w:w="1349" w:type="dxa"/>
            <w:vAlign w:val="center"/>
          </w:tcPr>
          <w:p w14:paraId="090A6FF1" w14:textId="77777777" w:rsidR="00353A4E" w:rsidRPr="00AB1C80" w:rsidRDefault="00353A4E" w:rsidP="00AB1C80">
            <w:pPr>
              <w:spacing w:line="276" w:lineRule="auto"/>
              <w:jc w:val="center"/>
              <w:rPr>
                <w:rFonts w:cs="Arial"/>
                <w:sz w:val="18"/>
                <w:szCs w:val="18"/>
              </w:rPr>
            </w:pPr>
            <w:r w:rsidRPr="00AB1C80">
              <w:rPr>
                <w:rFonts w:cs="Arial"/>
                <w:sz w:val="18"/>
                <w:szCs w:val="18"/>
              </w:rPr>
              <w:t>1886</w:t>
            </w:r>
          </w:p>
        </w:tc>
        <w:tc>
          <w:tcPr>
            <w:tcW w:w="4683" w:type="dxa"/>
            <w:vAlign w:val="center"/>
          </w:tcPr>
          <w:p w14:paraId="70753110" w14:textId="77777777" w:rsidR="00353A4E" w:rsidRPr="00AB1C80" w:rsidRDefault="00353A4E" w:rsidP="00AB1C80">
            <w:pPr>
              <w:spacing w:line="276" w:lineRule="auto"/>
              <w:jc w:val="center"/>
              <w:rPr>
                <w:rFonts w:cs="Arial"/>
                <w:sz w:val="18"/>
                <w:szCs w:val="18"/>
              </w:rPr>
            </w:pPr>
            <w:r w:rsidRPr="00AB1C80">
              <w:rPr>
                <w:rFonts w:cs="Arial"/>
                <w:sz w:val="18"/>
                <w:szCs w:val="18"/>
              </w:rPr>
              <w:t>Código de Minería</w:t>
            </w:r>
          </w:p>
        </w:tc>
      </w:tr>
      <w:tr w:rsidR="00353A4E" w:rsidRPr="00AB1C80" w14:paraId="60D1D3AC" w14:textId="77777777" w:rsidTr="00353A4E">
        <w:trPr>
          <w:trHeight w:val="20"/>
          <w:jc w:val="center"/>
        </w:trPr>
        <w:tc>
          <w:tcPr>
            <w:tcW w:w="1628" w:type="dxa"/>
            <w:vAlign w:val="center"/>
          </w:tcPr>
          <w:p w14:paraId="157BFA59" w14:textId="77777777" w:rsidR="00353A4E" w:rsidRPr="00AB1C80" w:rsidRDefault="00353A4E" w:rsidP="00AB1C80">
            <w:pPr>
              <w:spacing w:line="276" w:lineRule="auto"/>
              <w:jc w:val="center"/>
              <w:rPr>
                <w:rFonts w:cs="Arial"/>
                <w:sz w:val="18"/>
                <w:szCs w:val="18"/>
              </w:rPr>
            </w:pPr>
            <w:r w:rsidRPr="00AB1C80">
              <w:rPr>
                <w:rFonts w:cs="Arial"/>
                <w:sz w:val="18"/>
                <w:szCs w:val="18"/>
              </w:rPr>
              <w:t>Bolivia</w:t>
            </w:r>
          </w:p>
        </w:tc>
        <w:tc>
          <w:tcPr>
            <w:tcW w:w="2190" w:type="dxa"/>
            <w:vAlign w:val="center"/>
          </w:tcPr>
          <w:p w14:paraId="503FEB04" w14:textId="77777777" w:rsidR="00353A4E" w:rsidRPr="00AB1C80" w:rsidRDefault="00353A4E" w:rsidP="00AB1C80">
            <w:pPr>
              <w:spacing w:line="276" w:lineRule="auto"/>
              <w:jc w:val="center"/>
              <w:rPr>
                <w:rFonts w:cs="Arial"/>
                <w:sz w:val="18"/>
                <w:szCs w:val="18"/>
              </w:rPr>
            </w:pPr>
            <w:r w:rsidRPr="00AB1C80">
              <w:rPr>
                <w:rFonts w:cs="Arial"/>
                <w:sz w:val="18"/>
                <w:szCs w:val="18"/>
              </w:rPr>
              <w:t>DS N°24.782</w:t>
            </w:r>
          </w:p>
        </w:tc>
        <w:tc>
          <w:tcPr>
            <w:tcW w:w="2341" w:type="dxa"/>
            <w:vAlign w:val="center"/>
          </w:tcPr>
          <w:p w14:paraId="3F27EB9E" w14:textId="77777777" w:rsidR="00353A4E" w:rsidRPr="00AB1C80" w:rsidRDefault="00353A4E" w:rsidP="00AB1C80">
            <w:pPr>
              <w:spacing w:line="276" w:lineRule="auto"/>
              <w:jc w:val="center"/>
              <w:rPr>
                <w:rFonts w:cs="Arial"/>
                <w:sz w:val="18"/>
                <w:szCs w:val="18"/>
              </w:rPr>
            </w:pPr>
            <w:r w:rsidRPr="00AB1C80">
              <w:rPr>
                <w:rFonts w:cs="Arial"/>
                <w:sz w:val="18"/>
                <w:szCs w:val="18"/>
              </w:rPr>
              <w:t>Presidente Constitucional de la República</w:t>
            </w:r>
          </w:p>
        </w:tc>
        <w:tc>
          <w:tcPr>
            <w:tcW w:w="1349" w:type="dxa"/>
            <w:vAlign w:val="center"/>
          </w:tcPr>
          <w:p w14:paraId="7986ED34" w14:textId="77777777" w:rsidR="00353A4E" w:rsidRPr="00AB1C80" w:rsidRDefault="00353A4E" w:rsidP="00AB1C80">
            <w:pPr>
              <w:spacing w:line="276" w:lineRule="auto"/>
              <w:jc w:val="center"/>
              <w:rPr>
                <w:rFonts w:cs="Arial"/>
                <w:sz w:val="18"/>
                <w:szCs w:val="18"/>
              </w:rPr>
            </w:pPr>
            <w:r w:rsidRPr="00AB1C80">
              <w:rPr>
                <w:rFonts w:cs="Arial"/>
                <w:sz w:val="18"/>
                <w:szCs w:val="18"/>
              </w:rPr>
              <w:t>1997</w:t>
            </w:r>
          </w:p>
        </w:tc>
        <w:tc>
          <w:tcPr>
            <w:tcW w:w="4683" w:type="dxa"/>
            <w:vAlign w:val="center"/>
          </w:tcPr>
          <w:p w14:paraId="4846D7CE" w14:textId="77777777" w:rsidR="00353A4E" w:rsidRPr="00AB1C80" w:rsidRDefault="00353A4E" w:rsidP="00AB1C80">
            <w:pPr>
              <w:spacing w:line="276" w:lineRule="auto"/>
              <w:jc w:val="center"/>
              <w:rPr>
                <w:rFonts w:cs="Arial"/>
                <w:sz w:val="18"/>
                <w:szCs w:val="18"/>
              </w:rPr>
            </w:pPr>
            <w:r w:rsidRPr="00AB1C80">
              <w:rPr>
                <w:rFonts w:cs="Arial"/>
                <w:sz w:val="18"/>
                <w:szCs w:val="18"/>
              </w:rPr>
              <w:t>Reglamento Ambiental para Actividades Mineras - RAAM</w:t>
            </w:r>
          </w:p>
        </w:tc>
      </w:tr>
      <w:tr w:rsidR="00353A4E" w:rsidRPr="00AB1C80" w14:paraId="747A9457" w14:textId="77777777" w:rsidTr="00353A4E">
        <w:trPr>
          <w:trHeight w:val="20"/>
          <w:jc w:val="center"/>
        </w:trPr>
        <w:tc>
          <w:tcPr>
            <w:tcW w:w="1628" w:type="dxa"/>
            <w:vAlign w:val="center"/>
          </w:tcPr>
          <w:p w14:paraId="6CB26584" w14:textId="77777777" w:rsidR="00353A4E" w:rsidRPr="00AB1C80" w:rsidRDefault="00353A4E" w:rsidP="00AB1C80">
            <w:pPr>
              <w:spacing w:line="276" w:lineRule="auto"/>
              <w:jc w:val="center"/>
              <w:rPr>
                <w:rFonts w:cs="Arial"/>
                <w:sz w:val="18"/>
                <w:szCs w:val="18"/>
              </w:rPr>
            </w:pPr>
            <w:r w:rsidRPr="00AB1C80">
              <w:rPr>
                <w:rFonts w:cs="Arial"/>
                <w:sz w:val="18"/>
                <w:szCs w:val="18"/>
              </w:rPr>
              <w:t>Bolivia</w:t>
            </w:r>
          </w:p>
        </w:tc>
        <w:tc>
          <w:tcPr>
            <w:tcW w:w="2190" w:type="dxa"/>
            <w:vAlign w:val="center"/>
          </w:tcPr>
          <w:p w14:paraId="12ED78B5" w14:textId="77777777" w:rsidR="00353A4E" w:rsidRPr="00AB1C80" w:rsidRDefault="00353A4E" w:rsidP="00AB1C80">
            <w:pPr>
              <w:spacing w:line="276" w:lineRule="auto"/>
              <w:jc w:val="center"/>
              <w:rPr>
                <w:rFonts w:cs="Arial"/>
                <w:sz w:val="18"/>
                <w:szCs w:val="18"/>
              </w:rPr>
            </w:pPr>
            <w:r w:rsidRPr="00AB1C80">
              <w:rPr>
                <w:rFonts w:cs="Arial"/>
                <w:sz w:val="18"/>
                <w:szCs w:val="18"/>
              </w:rPr>
              <w:t>Ley N° 535</w:t>
            </w:r>
          </w:p>
        </w:tc>
        <w:tc>
          <w:tcPr>
            <w:tcW w:w="2341" w:type="dxa"/>
            <w:vAlign w:val="center"/>
          </w:tcPr>
          <w:p w14:paraId="3B3C860E" w14:textId="77777777" w:rsidR="00353A4E" w:rsidRPr="00AB1C80" w:rsidRDefault="00353A4E" w:rsidP="00AB1C80">
            <w:pPr>
              <w:spacing w:line="276" w:lineRule="auto"/>
              <w:jc w:val="center"/>
              <w:rPr>
                <w:rFonts w:cs="Arial"/>
                <w:sz w:val="18"/>
                <w:szCs w:val="18"/>
              </w:rPr>
            </w:pPr>
            <w:r w:rsidRPr="00AB1C80">
              <w:rPr>
                <w:rFonts w:cs="Arial"/>
                <w:sz w:val="18"/>
                <w:szCs w:val="18"/>
              </w:rPr>
              <w:t>Presidencia de la Republica</w:t>
            </w:r>
          </w:p>
        </w:tc>
        <w:tc>
          <w:tcPr>
            <w:tcW w:w="1349" w:type="dxa"/>
            <w:vAlign w:val="center"/>
          </w:tcPr>
          <w:p w14:paraId="1BEF99CF" w14:textId="77777777" w:rsidR="00353A4E" w:rsidRPr="00AB1C80" w:rsidRDefault="00353A4E" w:rsidP="00AB1C80">
            <w:pPr>
              <w:spacing w:line="276" w:lineRule="auto"/>
              <w:jc w:val="center"/>
              <w:rPr>
                <w:rFonts w:cs="Arial"/>
                <w:sz w:val="18"/>
                <w:szCs w:val="18"/>
              </w:rPr>
            </w:pPr>
            <w:r w:rsidRPr="00AB1C80">
              <w:rPr>
                <w:rFonts w:cs="Arial"/>
                <w:sz w:val="18"/>
                <w:szCs w:val="18"/>
              </w:rPr>
              <w:t>2014</w:t>
            </w:r>
          </w:p>
        </w:tc>
        <w:tc>
          <w:tcPr>
            <w:tcW w:w="4683" w:type="dxa"/>
            <w:vAlign w:val="center"/>
          </w:tcPr>
          <w:p w14:paraId="51EC620E" w14:textId="77777777" w:rsidR="00353A4E" w:rsidRPr="00AB1C80" w:rsidRDefault="00353A4E" w:rsidP="00AB1C80">
            <w:pPr>
              <w:spacing w:line="276" w:lineRule="auto"/>
              <w:jc w:val="center"/>
              <w:rPr>
                <w:rFonts w:cs="Arial"/>
                <w:sz w:val="18"/>
                <w:szCs w:val="18"/>
              </w:rPr>
            </w:pPr>
            <w:r w:rsidRPr="00AB1C80">
              <w:rPr>
                <w:rFonts w:cs="Arial"/>
                <w:sz w:val="18"/>
                <w:szCs w:val="18"/>
              </w:rPr>
              <w:t>Ley de Minería y Metalurgia</w:t>
            </w:r>
          </w:p>
        </w:tc>
      </w:tr>
      <w:tr w:rsidR="00353A4E" w:rsidRPr="00AB1C80" w14:paraId="5113820D" w14:textId="77777777" w:rsidTr="00353A4E">
        <w:trPr>
          <w:trHeight w:val="20"/>
          <w:jc w:val="center"/>
        </w:trPr>
        <w:tc>
          <w:tcPr>
            <w:tcW w:w="1628" w:type="dxa"/>
            <w:vAlign w:val="center"/>
          </w:tcPr>
          <w:p w14:paraId="1D99C4F8" w14:textId="77777777" w:rsidR="00353A4E" w:rsidRPr="00AB1C80" w:rsidRDefault="00353A4E" w:rsidP="00AB1C80">
            <w:pPr>
              <w:spacing w:line="276" w:lineRule="auto"/>
              <w:jc w:val="center"/>
              <w:rPr>
                <w:rFonts w:cs="Arial"/>
                <w:sz w:val="18"/>
                <w:szCs w:val="18"/>
              </w:rPr>
            </w:pPr>
            <w:r w:rsidRPr="00AB1C80">
              <w:rPr>
                <w:rFonts w:cs="Arial"/>
                <w:sz w:val="18"/>
                <w:szCs w:val="18"/>
              </w:rPr>
              <w:t>Ecuador</w:t>
            </w:r>
          </w:p>
        </w:tc>
        <w:tc>
          <w:tcPr>
            <w:tcW w:w="2190" w:type="dxa"/>
            <w:vAlign w:val="center"/>
          </w:tcPr>
          <w:p w14:paraId="2F261F35" w14:textId="77777777" w:rsidR="00353A4E" w:rsidRPr="00AB1C80" w:rsidRDefault="00353A4E" w:rsidP="00AB1C80">
            <w:pPr>
              <w:spacing w:line="276" w:lineRule="auto"/>
              <w:jc w:val="center"/>
              <w:rPr>
                <w:rFonts w:cs="Arial"/>
                <w:sz w:val="18"/>
                <w:szCs w:val="18"/>
              </w:rPr>
            </w:pPr>
            <w:r w:rsidRPr="00AB1C80">
              <w:rPr>
                <w:rFonts w:cs="Arial"/>
                <w:sz w:val="18"/>
                <w:szCs w:val="18"/>
              </w:rPr>
              <w:t>Reglamento ambiental de actividades mineras</w:t>
            </w:r>
          </w:p>
        </w:tc>
        <w:tc>
          <w:tcPr>
            <w:tcW w:w="2341" w:type="dxa"/>
            <w:vAlign w:val="center"/>
          </w:tcPr>
          <w:p w14:paraId="6488082C" w14:textId="77777777" w:rsidR="00353A4E" w:rsidRPr="00AB1C80" w:rsidRDefault="00353A4E" w:rsidP="00AB1C80">
            <w:pPr>
              <w:spacing w:line="276" w:lineRule="auto"/>
              <w:jc w:val="center"/>
              <w:rPr>
                <w:rFonts w:cs="Arial"/>
                <w:sz w:val="18"/>
                <w:szCs w:val="18"/>
              </w:rPr>
            </w:pPr>
            <w:r w:rsidRPr="00AB1C80">
              <w:rPr>
                <w:rFonts w:cs="Arial"/>
                <w:sz w:val="18"/>
                <w:szCs w:val="18"/>
              </w:rPr>
              <w:t>Presidencia de la Republica</w:t>
            </w:r>
          </w:p>
        </w:tc>
        <w:tc>
          <w:tcPr>
            <w:tcW w:w="1349" w:type="dxa"/>
            <w:vAlign w:val="center"/>
          </w:tcPr>
          <w:p w14:paraId="51AE6A9B" w14:textId="77777777" w:rsidR="00353A4E" w:rsidRPr="00AB1C80" w:rsidRDefault="00353A4E" w:rsidP="00AB1C80">
            <w:pPr>
              <w:spacing w:line="276" w:lineRule="auto"/>
              <w:jc w:val="center"/>
              <w:rPr>
                <w:rFonts w:cs="Arial"/>
                <w:sz w:val="18"/>
                <w:szCs w:val="18"/>
              </w:rPr>
            </w:pPr>
            <w:r w:rsidRPr="00AB1C80">
              <w:rPr>
                <w:rFonts w:cs="Arial"/>
                <w:sz w:val="18"/>
                <w:szCs w:val="18"/>
              </w:rPr>
              <w:t>2009</w:t>
            </w:r>
          </w:p>
        </w:tc>
        <w:tc>
          <w:tcPr>
            <w:tcW w:w="4683" w:type="dxa"/>
            <w:vAlign w:val="center"/>
          </w:tcPr>
          <w:p w14:paraId="2B3CA85B" w14:textId="53F47AA1" w:rsidR="00353A4E" w:rsidRPr="00AB1C80" w:rsidRDefault="00353A4E" w:rsidP="00AB1C80">
            <w:pPr>
              <w:spacing w:line="276" w:lineRule="auto"/>
              <w:jc w:val="center"/>
              <w:rPr>
                <w:rFonts w:cs="Arial"/>
                <w:sz w:val="18"/>
                <w:szCs w:val="18"/>
              </w:rPr>
            </w:pPr>
            <w:r w:rsidRPr="00AB1C80">
              <w:rPr>
                <w:rFonts w:cs="Arial"/>
                <w:sz w:val="18"/>
                <w:szCs w:val="18"/>
              </w:rPr>
              <w:t>Promueve el desarrollo sustentable de la minería en el Ecuador, estableciendo directrices respecto a la elección y preparación del sitio para escombreras y disposiciones frente al material estéril</w:t>
            </w:r>
          </w:p>
        </w:tc>
      </w:tr>
      <w:tr w:rsidR="00353A4E" w:rsidRPr="00AB1C80" w14:paraId="04716CC9" w14:textId="77777777" w:rsidTr="00353A4E">
        <w:trPr>
          <w:trHeight w:val="20"/>
          <w:jc w:val="center"/>
        </w:trPr>
        <w:tc>
          <w:tcPr>
            <w:tcW w:w="1628" w:type="dxa"/>
            <w:vAlign w:val="center"/>
          </w:tcPr>
          <w:p w14:paraId="74710223"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2E6BFB9E" w14:textId="77777777" w:rsidR="00353A4E" w:rsidRPr="00AB1C80" w:rsidRDefault="00353A4E" w:rsidP="00AB1C80">
            <w:pPr>
              <w:spacing w:line="276" w:lineRule="auto"/>
              <w:jc w:val="center"/>
              <w:rPr>
                <w:rFonts w:cs="Arial"/>
                <w:sz w:val="18"/>
                <w:szCs w:val="18"/>
              </w:rPr>
            </w:pPr>
            <w:r w:rsidRPr="00AB1C80">
              <w:rPr>
                <w:rFonts w:cs="Arial"/>
                <w:sz w:val="18"/>
                <w:szCs w:val="18"/>
              </w:rPr>
              <w:t>DS N°014/92/EM</w:t>
            </w:r>
          </w:p>
        </w:tc>
        <w:tc>
          <w:tcPr>
            <w:tcW w:w="2341" w:type="dxa"/>
            <w:vAlign w:val="center"/>
          </w:tcPr>
          <w:p w14:paraId="7FA09C75"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4F9F4052" w14:textId="77777777" w:rsidR="00353A4E" w:rsidRPr="00AB1C80" w:rsidRDefault="00353A4E" w:rsidP="00AB1C80">
            <w:pPr>
              <w:spacing w:line="276" w:lineRule="auto"/>
              <w:jc w:val="center"/>
              <w:rPr>
                <w:rFonts w:cs="Arial"/>
                <w:sz w:val="18"/>
                <w:szCs w:val="18"/>
              </w:rPr>
            </w:pPr>
            <w:r w:rsidRPr="00AB1C80">
              <w:rPr>
                <w:rFonts w:cs="Arial"/>
                <w:sz w:val="18"/>
                <w:szCs w:val="18"/>
              </w:rPr>
              <w:t>1992</w:t>
            </w:r>
          </w:p>
        </w:tc>
        <w:tc>
          <w:tcPr>
            <w:tcW w:w="4683" w:type="dxa"/>
            <w:vAlign w:val="center"/>
          </w:tcPr>
          <w:p w14:paraId="2B736188" w14:textId="77777777" w:rsidR="00353A4E" w:rsidRPr="00AB1C80" w:rsidRDefault="00353A4E" w:rsidP="00AB1C80">
            <w:pPr>
              <w:spacing w:line="276" w:lineRule="auto"/>
              <w:jc w:val="center"/>
              <w:rPr>
                <w:rFonts w:cs="Arial"/>
                <w:sz w:val="18"/>
                <w:szCs w:val="18"/>
              </w:rPr>
            </w:pPr>
            <w:r w:rsidRPr="00AB1C80">
              <w:rPr>
                <w:rFonts w:cs="Arial"/>
                <w:sz w:val="18"/>
                <w:szCs w:val="18"/>
              </w:rPr>
              <w:t>Ley General de Minería</w:t>
            </w:r>
          </w:p>
        </w:tc>
      </w:tr>
      <w:tr w:rsidR="00353A4E" w:rsidRPr="00AB1C80" w14:paraId="69EF1EC4" w14:textId="77777777" w:rsidTr="00353A4E">
        <w:trPr>
          <w:trHeight w:val="20"/>
          <w:jc w:val="center"/>
        </w:trPr>
        <w:tc>
          <w:tcPr>
            <w:tcW w:w="1628" w:type="dxa"/>
            <w:vAlign w:val="center"/>
          </w:tcPr>
          <w:p w14:paraId="0E670E59"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229E3012" w14:textId="77777777" w:rsidR="00353A4E" w:rsidRPr="00AB1C80" w:rsidRDefault="00353A4E" w:rsidP="00AB1C80">
            <w:pPr>
              <w:spacing w:line="276" w:lineRule="auto"/>
              <w:jc w:val="center"/>
              <w:rPr>
                <w:rFonts w:cs="Arial"/>
                <w:sz w:val="18"/>
                <w:szCs w:val="18"/>
              </w:rPr>
            </w:pPr>
            <w:r w:rsidRPr="00AB1C80">
              <w:rPr>
                <w:rFonts w:cs="Arial"/>
                <w:sz w:val="18"/>
                <w:szCs w:val="18"/>
              </w:rPr>
              <w:t>DS N°016/1993/EM</w:t>
            </w:r>
          </w:p>
        </w:tc>
        <w:tc>
          <w:tcPr>
            <w:tcW w:w="2341" w:type="dxa"/>
            <w:vAlign w:val="center"/>
          </w:tcPr>
          <w:p w14:paraId="29A6DDCF"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01981BAE" w14:textId="77777777" w:rsidR="00353A4E" w:rsidRPr="00AB1C80" w:rsidRDefault="00353A4E" w:rsidP="00AB1C80">
            <w:pPr>
              <w:spacing w:line="276" w:lineRule="auto"/>
              <w:jc w:val="center"/>
              <w:rPr>
                <w:rFonts w:cs="Arial"/>
                <w:sz w:val="18"/>
                <w:szCs w:val="18"/>
              </w:rPr>
            </w:pPr>
            <w:r w:rsidRPr="00AB1C80">
              <w:rPr>
                <w:rFonts w:cs="Arial"/>
                <w:sz w:val="18"/>
                <w:szCs w:val="18"/>
              </w:rPr>
              <w:t>1993</w:t>
            </w:r>
          </w:p>
        </w:tc>
        <w:tc>
          <w:tcPr>
            <w:tcW w:w="4683" w:type="dxa"/>
            <w:vAlign w:val="center"/>
          </w:tcPr>
          <w:p w14:paraId="436A8EA5" w14:textId="79C3E1F0" w:rsidR="00353A4E" w:rsidRPr="00AB1C80" w:rsidRDefault="00353A4E" w:rsidP="00AB1C80">
            <w:pPr>
              <w:spacing w:line="276" w:lineRule="auto"/>
              <w:jc w:val="center"/>
              <w:rPr>
                <w:rFonts w:cs="Arial"/>
                <w:sz w:val="18"/>
                <w:szCs w:val="18"/>
              </w:rPr>
            </w:pPr>
            <w:r w:rsidRPr="00AB1C80">
              <w:rPr>
                <w:rFonts w:cs="Arial"/>
                <w:sz w:val="18"/>
                <w:szCs w:val="18"/>
              </w:rPr>
              <w:t>Reglamento para la protección ambiental en la actividad minero-metalúrgica</w:t>
            </w:r>
          </w:p>
        </w:tc>
      </w:tr>
      <w:tr w:rsidR="00353A4E" w:rsidRPr="00AB1C80" w14:paraId="033C42C3" w14:textId="77777777" w:rsidTr="00353A4E">
        <w:trPr>
          <w:trHeight w:val="20"/>
          <w:jc w:val="center"/>
        </w:trPr>
        <w:tc>
          <w:tcPr>
            <w:tcW w:w="1628" w:type="dxa"/>
            <w:vAlign w:val="center"/>
          </w:tcPr>
          <w:p w14:paraId="157C2DCE"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57F60131" w14:textId="77777777" w:rsidR="00353A4E" w:rsidRPr="00AB1C80" w:rsidRDefault="00353A4E" w:rsidP="00AB1C80">
            <w:pPr>
              <w:spacing w:line="276" w:lineRule="auto"/>
              <w:jc w:val="center"/>
              <w:rPr>
                <w:rFonts w:cs="Arial"/>
                <w:sz w:val="18"/>
                <w:szCs w:val="18"/>
              </w:rPr>
            </w:pPr>
            <w:r w:rsidRPr="00AB1C80">
              <w:rPr>
                <w:rFonts w:cs="Arial"/>
                <w:sz w:val="18"/>
                <w:szCs w:val="18"/>
              </w:rPr>
              <w:t>Resolución Directoral N°035-95-EM-DGAA</w:t>
            </w:r>
          </w:p>
        </w:tc>
        <w:tc>
          <w:tcPr>
            <w:tcW w:w="2341" w:type="dxa"/>
            <w:vAlign w:val="center"/>
          </w:tcPr>
          <w:p w14:paraId="139887F9"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5DA526C2" w14:textId="77777777" w:rsidR="00353A4E" w:rsidRPr="00AB1C80" w:rsidRDefault="00353A4E" w:rsidP="00AB1C80">
            <w:pPr>
              <w:spacing w:line="276" w:lineRule="auto"/>
              <w:jc w:val="center"/>
              <w:rPr>
                <w:rFonts w:cs="Arial"/>
                <w:sz w:val="18"/>
                <w:szCs w:val="18"/>
              </w:rPr>
            </w:pPr>
            <w:r w:rsidRPr="00AB1C80">
              <w:rPr>
                <w:rFonts w:cs="Arial"/>
                <w:sz w:val="18"/>
                <w:szCs w:val="18"/>
              </w:rPr>
              <w:t>1995</w:t>
            </w:r>
          </w:p>
        </w:tc>
        <w:tc>
          <w:tcPr>
            <w:tcW w:w="4683" w:type="dxa"/>
            <w:vAlign w:val="center"/>
          </w:tcPr>
          <w:p w14:paraId="23CCCF5F" w14:textId="77777777" w:rsidR="00353A4E" w:rsidRPr="00AB1C80" w:rsidRDefault="00353A4E" w:rsidP="00AB1C80">
            <w:pPr>
              <w:spacing w:line="276" w:lineRule="auto"/>
              <w:jc w:val="center"/>
              <w:rPr>
                <w:rFonts w:cs="Arial"/>
                <w:sz w:val="18"/>
                <w:szCs w:val="18"/>
              </w:rPr>
            </w:pPr>
            <w:r w:rsidRPr="00AB1C80">
              <w:rPr>
                <w:rFonts w:cs="Arial"/>
                <w:sz w:val="18"/>
                <w:szCs w:val="18"/>
              </w:rPr>
              <w:t>Aprueba las guías ambientales como lineamientos para la elaboración de Estudios de Impacto Ambiental y programas de adecuación y manejo ambiental del sector minero.</w:t>
            </w:r>
          </w:p>
        </w:tc>
      </w:tr>
      <w:tr w:rsidR="00353A4E" w:rsidRPr="00AB1C80" w14:paraId="5FB9DC95" w14:textId="77777777" w:rsidTr="00353A4E">
        <w:trPr>
          <w:trHeight w:val="20"/>
          <w:jc w:val="center"/>
        </w:trPr>
        <w:tc>
          <w:tcPr>
            <w:tcW w:w="1628" w:type="dxa"/>
            <w:vAlign w:val="center"/>
          </w:tcPr>
          <w:p w14:paraId="39D9DEC0"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76433029" w14:textId="77777777" w:rsidR="00353A4E" w:rsidRPr="00AB1C80" w:rsidRDefault="00353A4E" w:rsidP="00AB1C80">
            <w:pPr>
              <w:spacing w:line="276" w:lineRule="auto"/>
              <w:jc w:val="center"/>
              <w:rPr>
                <w:rFonts w:cs="Arial"/>
                <w:sz w:val="18"/>
                <w:szCs w:val="18"/>
              </w:rPr>
            </w:pPr>
            <w:r w:rsidRPr="00AB1C80">
              <w:rPr>
                <w:rFonts w:cs="Arial"/>
                <w:sz w:val="18"/>
                <w:szCs w:val="18"/>
              </w:rPr>
              <w:t>Ley N°28.271</w:t>
            </w:r>
          </w:p>
        </w:tc>
        <w:tc>
          <w:tcPr>
            <w:tcW w:w="2341" w:type="dxa"/>
            <w:vAlign w:val="center"/>
          </w:tcPr>
          <w:p w14:paraId="0A9B7F85"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0A77D714" w14:textId="77777777" w:rsidR="00353A4E" w:rsidRPr="00AB1C80" w:rsidRDefault="00353A4E" w:rsidP="00AB1C80">
            <w:pPr>
              <w:spacing w:line="276" w:lineRule="auto"/>
              <w:jc w:val="center"/>
              <w:rPr>
                <w:rFonts w:cs="Arial"/>
                <w:sz w:val="18"/>
                <w:szCs w:val="18"/>
              </w:rPr>
            </w:pPr>
            <w:r w:rsidRPr="00AB1C80">
              <w:rPr>
                <w:rFonts w:cs="Arial"/>
                <w:sz w:val="18"/>
                <w:szCs w:val="18"/>
              </w:rPr>
              <w:t>2004</w:t>
            </w:r>
          </w:p>
        </w:tc>
        <w:tc>
          <w:tcPr>
            <w:tcW w:w="4683" w:type="dxa"/>
            <w:vAlign w:val="center"/>
          </w:tcPr>
          <w:p w14:paraId="3282D1DD" w14:textId="77777777" w:rsidR="00353A4E" w:rsidRPr="00AB1C80" w:rsidRDefault="00353A4E" w:rsidP="00AB1C80">
            <w:pPr>
              <w:spacing w:line="276" w:lineRule="auto"/>
              <w:jc w:val="center"/>
              <w:rPr>
                <w:rFonts w:cs="Arial"/>
                <w:sz w:val="18"/>
                <w:szCs w:val="18"/>
              </w:rPr>
            </w:pPr>
            <w:r w:rsidRPr="00AB1C80">
              <w:rPr>
                <w:rFonts w:cs="Arial"/>
                <w:sz w:val="18"/>
                <w:szCs w:val="18"/>
              </w:rPr>
              <w:t>Regula los pasivos ambientales de la actividad minera</w:t>
            </w:r>
          </w:p>
        </w:tc>
      </w:tr>
      <w:tr w:rsidR="00353A4E" w:rsidRPr="00AB1C80" w14:paraId="4CD326F7" w14:textId="77777777" w:rsidTr="00353A4E">
        <w:trPr>
          <w:trHeight w:val="20"/>
          <w:jc w:val="center"/>
        </w:trPr>
        <w:tc>
          <w:tcPr>
            <w:tcW w:w="1628" w:type="dxa"/>
            <w:vAlign w:val="center"/>
          </w:tcPr>
          <w:p w14:paraId="78501D09"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3476EB77" w14:textId="77777777" w:rsidR="00353A4E" w:rsidRPr="00AB1C80" w:rsidRDefault="00353A4E" w:rsidP="00AB1C80">
            <w:pPr>
              <w:spacing w:line="276" w:lineRule="auto"/>
              <w:jc w:val="center"/>
              <w:rPr>
                <w:rFonts w:cs="Arial"/>
                <w:sz w:val="18"/>
                <w:szCs w:val="18"/>
              </w:rPr>
            </w:pPr>
            <w:r w:rsidRPr="00AB1C80">
              <w:rPr>
                <w:rFonts w:cs="Arial"/>
                <w:sz w:val="18"/>
                <w:szCs w:val="18"/>
              </w:rPr>
              <w:t>DS N°33-2005-EM de 2005</w:t>
            </w:r>
          </w:p>
        </w:tc>
        <w:tc>
          <w:tcPr>
            <w:tcW w:w="2341" w:type="dxa"/>
            <w:vAlign w:val="center"/>
          </w:tcPr>
          <w:p w14:paraId="5133FE2F"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52AB35A1" w14:textId="77777777" w:rsidR="00353A4E" w:rsidRPr="00AB1C80" w:rsidRDefault="00353A4E" w:rsidP="00AB1C80">
            <w:pPr>
              <w:spacing w:line="276" w:lineRule="auto"/>
              <w:jc w:val="center"/>
              <w:rPr>
                <w:rFonts w:cs="Arial"/>
                <w:sz w:val="18"/>
                <w:szCs w:val="18"/>
              </w:rPr>
            </w:pPr>
            <w:r w:rsidRPr="00AB1C80">
              <w:rPr>
                <w:rFonts w:cs="Arial"/>
                <w:sz w:val="18"/>
                <w:szCs w:val="18"/>
              </w:rPr>
              <w:t>2005</w:t>
            </w:r>
          </w:p>
        </w:tc>
        <w:tc>
          <w:tcPr>
            <w:tcW w:w="4683" w:type="dxa"/>
            <w:vAlign w:val="center"/>
          </w:tcPr>
          <w:p w14:paraId="0D353231" w14:textId="77777777" w:rsidR="00353A4E" w:rsidRPr="00AB1C80" w:rsidRDefault="00353A4E" w:rsidP="00AB1C80">
            <w:pPr>
              <w:spacing w:line="276" w:lineRule="auto"/>
              <w:jc w:val="center"/>
              <w:rPr>
                <w:rFonts w:cs="Arial"/>
                <w:sz w:val="18"/>
                <w:szCs w:val="18"/>
              </w:rPr>
            </w:pPr>
            <w:r w:rsidRPr="00AB1C80">
              <w:rPr>
                <w:rFonts w:cs="Arial"/>
                <w:sz w:val="18"/>
                <w:szCs w:val="18"/>
              </w:rPr>
              <w:t>Reglamento para el cierre de Minas</w:t>
            </w:r>
          </w:p>
        </w:tc>
      </w:tr>
      <w:tr w:rsidR="00353A4E" w:rsidRPr="00AB1C80" w14:paraId="236AF892" w14:textId="77777777" w:rsidTr="00353A4E">
        <w:trPr>
          <w:trHeight w:val="20"/>
          <w:jc w:val="center"/>
        </w:trPr>
        <w:tc>
          <w:tcPr>
            <w:tcW w:w="1628" w:type="dxa"/>
            <w:vAlign w:val="center"/>
          </w:tcPr>
          <w:p w14:paraId="5B8AAF2A" w14:textId="77777777" w:rsidR="00353A4E" w:rsidRPr="00AB1C80" w:rsidRDefault="00353A4E" w:rsidP="00AB1C80">
            <w:pPr>
              <w:spacing w:line="276" w:lineRule="auto"/>
              <w:jc w:val="center"/>
              <w:rPr>
                <w:rFonts w:cs="Arial"/>
                <w:sz w:val="18"/>
                <w:szCs w:val="18"/>
              </w:rPr>
            </w:pPr>
            <w:r w:rsidRPr="00AB1C80">
              <w:rPr>
                <w:rFonts w:cs="Arial"/>
                <w:sz w:val="18"/>
                <w:szCs w:val="18"/>
              </w:rPr>
              <w:t>Perú</w:t>
            </w:r>
          </w:p>
        </w:tc>
        <w:tc>
          <w:tcPr>
            <w:tcW w:w="2190" w:type="dxa"/>
            <w:vAlign w:val="center"/>
          </w:tcPr>
          <w:p w14:paraId="726ECB80" w14:textId="77777777" w:rsidR="00353A4E" w:rsidRPr="00AB1C80" w:rsidRDefault="00353A4E" w:rsidP="00AB1C80">
            <w:pPr>
              <w:spacing w:line="276" w:lineRule="auto"/>
              <w:jc w:val="center"/>
              <w:rPr>
                <w:rFonts w:cs="Arial"/>
                <w:sz w:val="18"/>
                <w:szCs w:val="18"/>
              </w:rPr>
            </w:pPr>
            <w:r w:rsidRPr="00AB1C80">
              <w:rPr>
                <w:rFonts w:cs="Arial"/>
                <w:sz w:val="18"/>
                <w:szCs w:val="18"/>
              </w:rPr>
              <w:t>DS N°40 de 2014</w:t>
            </w:r>
          </w:p>
        </w:tc>
        <w:tc>
          <w:tcPr>
            <w:tcW w:w="2341" w:type="dxa"/>
            <w:vAlign w:val="center"/>
          </w:tcPr>
          <w:p w14:paraId="1F81E743" w14:textId="77777777" w:rsidR="00353A4E" w:rsidRPr="00AB1C80" w:rsidRDefault="00353A4E" w:rsidP="00AB1C80">
            <w:pPr>
              <w:spacing w:line="276" w:lineRule="auto"/>
              <w:jc w:val="center"/>
              <w:rPr>
                <w:rFonts w:cs="Arial"/>
                <w:sz w:val="18"/>
                <w:szCs w:val="18"/>
              </w:rPr>
            </w:pPr>
            <w:r w:rsidRPr="00AB1C80">
              <w:rPr>
                <w:rFonts w:cs="Arial"/>
                <w:sz w:val="18"/>
                <w:szCs w:val="18"/>
              </w:rPr>
              <w:t>Ministerio de Energía y Minas</w:t>
            </w:r>
          </w:p>
        </w:tc>
        <w:tc>
          <w:tcPr>
            <w:tcW w:w="1349" w:type="dxa"/>
            <w:vAlign w:val="center"/>
          </w:tcPr>
          <w:p w14:paraId="5591AF42" w14:textId="77777777" w:rsidR="00353A4E" w:rsidRPr="00AB1C80" w:rsidRDefault="00353A4E" w:rsidP="00AB1C80">
            <w:pPr>
              <w:spacing w:line="276" w:lineRule="auto"/>
              <w:jc w:val="center"/>
              <w:rPr>
                <w:rFonts w:cs="Arial"/>
                <w:sz w:val="18"/>
                <w:szCs w:val="18"/>
              </w:rPr>
            </w:pPr>
            <w:r w:rsidRPr="00AB1C80">
              <w:rPr>
                <w:rFonts w:cs="Arial"/>
                <w:sz w:val="18"/>
                <w:szCs w:val="18"/>
              </w:rPr>
              <w:t>2014</w:t>
            </w:r>
          </w:p>
        </w:tc>
        <w:tc>
          <w:tcPr>
            <w:tcW w:w="4683" w:type="dxa"/>
            <w:vAlign w:val="center"/>
          </w:tcPr>
          <w:p w14:paraId="50FD607A" w14:textId="77777777" w:rsidR="00353A4E" w:rsidRPr="00AB1C80" w:rsidRDefault="00353A4E" w:rsidP="00AB1C80">
            <w:pPr>
              <w:spacing w:line="276" w:lineRule="auto"/>
              <w:jc w:val="center"/>
              <w:rPr>
                <w:rFonts w:cs="Arial"/>
                <w:sz w:val="18"/>
                <w:szCs w:val="18"/>
              </w:rPr>
            </w:pPr>
            <w:r w:rsidRPr="00AB1C80">
              <w:rPr>
                <w:rFonts w:cs="Arial"/>
                <w:sz w:val="18"/>
                <w:szCs w:val="18"/>
              </w:rPr>
              <w:t>Reglamento de protección y gestión ambiental para las actividades de explotación, beneficio, labor general, transporte y almacenamiento minero</w:t>
            </w:r>
          </w:p>
        </w:tc>
      </w:tr>
    </w:tbl>
    <w:p w14:paraId="384C6FB7" w14:textId="5D2E451E" w:rsidR="00353A4E" w:rsidRPr="00AB1C80" w:rsidRDefault="00353A4E" w:rsidP="00AB1C80">
      <w:pPr>
        <w:pStyle w:val="Fuente"/>
        <w:spacing w:line="276" w:lineRule="auto"/>
        <w:rPr>
          <w:rFonts w:cs="Arial"/>
          <w:lang w:val="es-CO"/>
        </w:rPr>
      </w:pPr>
      <w:r w:rsidRPr="00AB1C80">
        <w:rPr>
          <w:rFonts w:cs="Arial"/>
          <w:bCs/>
          <w:lang w:val="es-CO"/>
        </w:rPr>
        <w:t>Fuente:</w:t>
      </w:r>
      <w:r w:rsidRPr="00AB1C80">
        <w:rPr>
          <w:rFonts w:cs="Arial"/>
          <w:lang w:val="es-CO"/>
        </w:rPr>
        <w:t xml:space="preserve"> ATG Ltda., 2021.</w:t>
      </w:r>
    </w:p>
    <w:p w14:paraId="3FB1AC59" w14:textId="49F0DC9E" w:rsidR="00E45FE5" w:rsidRPr="00AB1C80" w:rsidRDefault="003E557B" w:rsidP="00AB1C80">
      <w:pPr>
        <w:spacing w:line="276" w:lineRule="auto"/>
        <w:jc w:val="left"/>
        <w:rPr>
          <w:rFonts w:cs="Arial"/>
          <w:color w:val="000000" w:themeColor="text1"/>
          <w:szCs w:val="24"/>
        </w:rPr>
        <w:sectPr w:rsidR="00E45FE5" w:rsidRPr="00AB1C80" w:rsidSect="00E45FE5">
          <w:pgSz w:w="15840" w:h="12240" w:orient="landscape"/>
          <w:pgMar w:top="1701" w:right="1418" w:bottom="1701" w:left="1418" w:header="709" w:footer="709" w:gutter="0"/>
          <w:cols w:space="708"/>
          <w:docGrid w:linePitch="360"/>
        </w:sectPr>
      </w:pPr>
      <w:r w:rsidRPr="00AB1C80">
        <w:rPr>
          <w:rFonts w:cs="Arial"/>
          <w:color w:val="000000" w:themeColor="text1"/>
          <w:szCs w:val="24"/>
        </w:rPr>
        <w:br w:type="page"/>
      </w:r>
    </w:p>
    <w:p w14:paraId="30BDCABA" w14:textId="635274D6" w:rsidR="00EB4017" w:rsidRPr="00AB1C80" w:rsidRDefault="00456C43" w:rsidP="00AB1C80">
      <w:pPr>
        <w:pStyle w:val="Ttulo2"/>
        <w:spacing w:line="276" w:lineRule="auto"/>
        <w:rPr>
          <w:rFonts w:cs="Arial"/>
        </w:rPr>
      </w:pPr>
      <w:bookmarkStart w:id="82" w:name="_Toc56544154"/>
      <w:bookmarkStart w:id="83" w:name="_Toc86332929"/>
      <w:r w:rsidRPr="00AB1C80">
        <w:rPr>
          <w:rFonts w:cs="Arial"/>
        </w:rPr>
        <w:lastRenderedPageBreak/>
        <w:t xml:space="preserve">Información sobre </w:t>
      </w:r>
      <w:bookmarkEnd w:id="82"/>
      <w:r w:rsidR="00F151C7" w:rsidRPr="00AB1C80">
        <w:rPr>
          <w:rFonts w:cs="Arial"/>
        </w:rPr>
        <w:t>economía circular</w:t>
      </w:r>
      <w:bookmarkEnd w:id="83"/>
    </w:p>
    <w:p w14:paraId="12B204FB" w14:textId="53E8EB1C" w:rsidR="00B473FF" w:rsidRPr="00AB1C80" w:rsidRDefault="00B473FF" w:rsidP="00AB1C80">
      <w:pPr>
        <w:spacing w:line="276" w:lineRule="auto"/>
        <w:rPr>
          <w:rFonts w:cs="Arial"/>
          <w:color w:val="000000" w:themeColor="text1"/>
          <w:szCs w:val="24"/>
        </w:rPr>
      </w:pPr>
    </w:p>
    <w:p w14:paraId="6136F1B6" w14:textId="5A473AF7" w:rsidR="00A30D83" w:rsidRPr="00AB1C80" w:rsidRDefault="001019B3" w:rsidP="00AB1C80">
      <w:pPr>
        <w:spacing w:line="276" w:lineRule="auto"/>
        <w:rPr>
          <w:rFonts w:cs="Arial"/>
          <w:color w:val="000000" w:themeColor="text1"/>
          <w:szCs w:val="24"/>
        </w:rPr>
      </w:pPr>
      <w:r w:rsidRPr="00AB1C80">
        <w:rPr>
          <w:rFonts w:cs="Arial"/>
          <w:color w:val="000000" w:themeColor="text1"/>
          <w:szCs w:val="24"/>
        </w:rPr>
        <w:t xml:space="preserve">En la recolección de información se revisaron </w:t>
      </w:r>
      <w:r w:rsidR="008461EF" w:rsidRPr="00AB1C80">
        <w:rPr>
          <w:rFonts w:cs="Arial"/>
          <w:color w:val="000000" w:themeColor="text1"/>
          <w:szCs w:val="24"/>
        </w:rPr>
        <w:t xml:space="preserve">ochenta </w:t>
      </w:r>
      <w:r w:rsidR="008461EF" w:rsidRPr="00AB1C80">
        <w:rPr>
          <w:rFonts w:cs="Arial"/>
          <w:b/>
          <w:bCs/>
          <w:color w:val="000000" w:themeColor="text1"/>
          <w:szCs w:val="24"/>
        </w:rPr>
        <w:t>(80)</w:t>
      </w:r>
      <w:r w:rsidRPr="00AB1C80">
        <w:rPr>
          <w:rFonts w:cs="Arial"/>
          <w:color w:val="000000" w:themeColor="text1"/>
          <w:szCs w:val="24"/>
        </w:rPr>
        <w:t xml:space="preserve"> documentos publicados desde el año 2000 hasta el presente año, </w:t>
      </w:r>
      <w:r w:rsidRPr="00AB1C80">
        <w:rPr>
          <w:rFonts w:cs="Arial"/>
          <w:i/>
          <w:iCs/>
          <w:color w:val="000000" w:themeColor="text1"/>
          <w:sz w:val="22"/>
        </w:rPr>
        <w:t>(solo tres (3) documentos corresponden a años anteriores)</w:t>
      </w:r>
      <w:r w:rsidRPr="00AB1C80">
        <w:rPr>
          <w:rFonts w:cs="Arial"/>
          <w:color w:val="000000" w:themeColor="text1"/>
          <w:szCs w:val="24"/>
        </w:rPr>
        <w:t>, con el fin de evaluar,</w:t>
      </w:r>
      <w:r w:rsidR="00A30D83" w:rsidRPr="00AB1C80">
        <w:rPr>
          <w:rFonts w:cs="Arial"/>
          <w:color w:val="000000" w:themeColor="text1"/>
          <w:szCs w:val="24"/>
        </w:rPr>
        <w:t xml:space="preserve"> comparar e interrelacionar información y validar su vigencia para su posterior análisis e interpretación con el fin de decantar propuestas y/o lineamientos con miras a los productos posteriores; de estos, </w:t>
      </w:r>
      <w:r w:rsidR="00617738" w:rsidRPr="00AB1C80">
        <w:rPr>
          <w:rFonts w:cs="Arial"/>
          <w:color w:val="000000" w:themeColor="text1"/>
          <w:szCs w:val="24"/>
        </w:rPr>
        <w:t xml:space="preserve">cuarenta y cuatro </w:t>
      </w:r>
      <w:r w:rsidR="00617738" w:rsidRPr="00AB1C80">
        <w:rPr>
          <w:rFonts w:cs="Arial"/>
          <w:b/>
          <w:bCs/>
          <w:color w:val="000000" w:themeColor="text1"/>
          <w:szCs w:val="24"/>
        </w:rPr>
        <w:t>(44)</w:t>
      </w:r>
      <w:r w:rsidR="00A30D83" w:rsidRPr="00AB1C80">
        <w:rPr>
          <w:rFonts w:cs="Arial"/>
          <w:color w:val="000000" w:themeColor="text1"/>
          <w:szCs w:val="24"/>
        </w:rPr>
        <w:t xml:space="preserve"> se encuentran relacionados con la temática de </w:t>
      </w:r>
      <w:r w:rsidR="005A768E" w:rsidRPr="00AB1C80">
        <w:rPr>
          <w:rFonts w:cs="Arial"/>
          <w:color w:val="000000" w:themeColor="text1"/>
          <w:szCs w:val="24"/>
        </w:rPr>
        <w:t>economía circular</w:t>
      </w:r>
      <w:r w:rsidR="00A30D83" w:rsidRPr="00AB1C80">
        <w:rPr>
          <w:rFonts w:cs="Arial"/>
          <w:color w:val="000000" w:themeColor="text1"/>
          <w:szCs w:val="24"/>
        </w:rPr>
        <w:t xml:space="preserve">; de los cuales, </w:t>
      </w:r>
      <w:r w:rsidR="005A768E" w:rsidRPr="00AB1C80">
        <w:rPr>
          <w:rFonts w:cs="Arial"/>
          <w:color w:val="000000" w:themeColor="text1"/>
          <w:szCs w:val="24"/>
        </w:rPr>
        <w:t>doce</w:t>
      </w:r>
      <w:r w:rsidR="00A30D83" w:rsidRPr="00AB1C80">
        <w:rPr>
          <w:rFonts w:cs="Arial"/>
          <w:color w:val="000000" w:themeColor="text1"/>
          <w:szCs w:val="24"/>
        </w:rPr>
        <w:t xml:space="preserve"> </w:t>
      </w:r>
      <w:r w:rsidR="00A30D83" w:rsidRPr="00AB1C80">
        <w:rPr>
          <w:rFonts w:cs="Arial"/>
          <w:b/>
          <w:bCs/>
          <w:color w:val="000000" w:themeColor="text1"/>
          <w:szCs w:val="24"/>
        </w:rPr>
        <w:t>(1</w:t>
      </w:r>
      <w:r w:rsidR="005A768E" w:rsidRPr="00AB1C80">
        <w:rPr>
          <w:rFonts w:cs="Arial"/>
          <w:b/>
          <w:bCs/>
          <w:color w:val="000000" w:themeColor="text1"/>
          <w:szCs w:val="24"/>
        </w:rPr>
        <w:t>2</w:t>
      </w:r>
      <w:r w:rsidR="00A30D83" w:rsidRPr="00AB1C80">
        <w:rPr>
          <w:rFonts w:cs="Arial"/>
          <w:b/>
          <w:bCs/>
          <w:color w:val="000000" w:themeColor="text1"/>
          <w:szCs w:val="24"/>
        </w:rPr>
        <w:t>)</w:t>
      </w:r>
      <w:r w:rsidR="00A30D83" w:rsidRPr="00AB1C80">
        <w:rPr>
          <w:rFonts w:cs="Arial"/>
          <w:color w:val="000000" w:themeColor="text1"/>
          <w:szCs w:val="24"/>
        </w:rPr>
        <w:t xml:space="preserve"> pertenecen al contexto nacional y </w:t>
      </w:r>
      <w:r w:rsidR="005A768E" w:rsidRPr="00AB1C80">
        <w:rPr>
          <w:rFonts w:cs="Arial"/>
          <w:color w:val="000000" w:themeColor="text1"/>
          <w:szCs w:val="24"/>
        </w:rPr>
        <w:t>treinta</w:t>
      </w:r>
      <w:r w:rsidR="00A30D83" w:rsidRPr="00AB1C80">
        <w:rPr>
          <w:rFonts w:cs="Arial"/>
          <w:color w:val="000000" w:themeColor="text1"/>
          <w:szCs w:val="24"/>
        </w:rPr>
        <w:t xml:space="preserve"> </w:t>
      </w:r>
      <w:r w:rsidR="008461EF" w:rsidRPr="00AB1C80">
        <w:rPr>
          <w:rFonts w:cs="Arial"/>
          <w:color w:val="000000" w:themeColor="text1"/>
          <w:szCs w:val="24"/>
        </w:rPr>
        <w:t xml:space="preserve">y dos </w:t>
      </w:r>
      <w:r w:rsidR="00A30D83" w:rsidRPr="00AB1C80">
        <w:rPr>
          <w:rFonts w:cs="Arial"/>
          <w:b/>
          <w:bCs/>
          <w:color w:val="000000" w:themeColor="text1"/>
          <w:szCs w:val="24"/>
        </w:rPr>
        <w:t>(</w:t>
      </w:r>
      <w:r w:rsidR="005A768E" w:rsidRPr="00AB1C80">
        <w:rPr>
          <w:rFonts w:cs="Arial"/>
          <w:b/>
          <w:bCs/>
          <w:color w:val="000000" w:themeColor="text1"/>
          <w:szCs w:val="24"/>
        </w:rPr>
        <w:t>3</w:t>
      </w:r>
      <w:r w:rsidR="00617738" w:rsidRPr="00AB1C80">
        <w:rPr>
          <w:rFonts w:cs="Arial"/>
          <w:b/>
          <w:bCs/>
          <w:color w:val="000000" w:themeColor="text1"/>
          <w:szCs w:val="24"/>
        </w:rPr>
        <w:t>2</w:t>
      </w:r>
      <w:r w:rsidR="00A30D83" w:rsidRPr="00AB1C80">
        <w:rPr>
          <w:rFonts w:cs="Arial"/>
          <w:b/>
          <w:bCs/>
          <w:color w:val="000000" w:themeColor="text1"/>
          <w:szCs w:val="24"/>
        </w:rPr>
        <w:t>)</w:t>
      </w:r>
      <w:r w:rsidR="00A30D83" w:rsidRPr="00AB1C80">
        <w:rPr>
          <w:rFonts w:cs="Arial"/>
          <w:color w:val="000000" w:themeColor="text1"/>
          <w:szCs w:val="24"/>
        </w:rPr>
        <w:t xml:space="preserve"> al internacional.</w:t>
      </w:r>
    </w:p>
    <w:p w14:paraId="13E3BF77" w14:textId="77777777" w:rsidR="00A30D83" w:rsidRPr="00AB1C80" w:rsidRDefault="00A30D83" w:rsidP="00AB1C80">
      <w:pPr>
        <w:spacing w:line="276" w:lineRule="auto"/>
        <w:rPr>
          <w:rFonts w:cs="Arial"/>
          <w:color w:val="000000" w:themeColor="text1"/>
          <w:szCs w:val="24"/>
        </w:rPr>
      </w:pPr>
    </w:p>
    <w:p w14:paraId="233504BC" w14:textId="4BAE3812" w:rsidR="00A30D83" w:rsidRPr="00AB1C80" w:rsidRDefault="00A30D83" w:rsidP="00AB1C80">
      <w:pPr>
        <w:spacing w:line="276" w:lineRule="auto"/>
        <w:rPr>
          <w:rFonts w:cs="Arial"/>
          <w:color w:val="000000" w:themeColor="text1"/>
          <w:szCs w:val="24"/>
        </w:rPr>
      </w:pPr>
      <w:r w:rsidRPr="00AB1C80">
        <w:rPr>
          <w:rFonts w:cs="Arial"/>
          <w:color w:val="000000" w:themeColor="text1"/>
          <w:szCs w:val="24"/>
        </w:rPr>
        <w:t xml:space="preserve">Para </w:t>
      </w:r>
      <w:r w:rsidR="005A768E" w:rsidRPr="00AB1C80">
        <w:rPr>
          <w:rFonts w:cs="Arial"/>
          <w:color w:val="000000" w:themeColor="text1"/>
          <w:szCs w:val="24"/>
        </w:rPr>
        <w:t xml:space="preserve">los </w:t>
      </w:r>
      <w:r w:rsidR="00617738" w:rsidRPr="00AB1C80">
        <w:rPr>
          <w:rFonts w:cs="Arial"/>
          <w:color w:val="000000" w:themeColor="text1"/>
          <w:szCs w:val="24"/>
        </w:rPr>
        <w:t xml:space="preserve">cuarenta y cuatro </w:t>
      </w:r>
      <w:r w:rsidR="00617738" w:rsidRPr="00AB1C80">
        <w:rPr>
          <w:rFonts w:cs="Arial"/>
          <w:b/>
          <w:bCs/>
          <w:color w:val="000000" w:themeColor="text1"/>
          <w:szCs w:val="24"/>
        </w:rPr>
        <w:t>(44)</w:t>
      </w:r>
      <w:r w:rsidRPr="00AB1C80">
        <w:rPr>
          <w:rFonts w:cs="Arial"/>
          <w:b/>
          <w:color w:val="000000" w:themeColor="text1"/>
          <w:szCs w:val="24"/>
        </w:rPr>
        <w:t xml:space="preserve"> </w:t>
      </w:r>
      <w:r w:rsidRPr="00AB1C80">
        <w:rPr>
          <w:rFonts w:cs="Arial"/>
          <w:color w:val="000000" w:themeColor="text1"/>
          <w:szCs w:val="24"/>
        </w:rPr>
        <w:t xml:space="preserve">documentos, se diligencio el formato de recolección de información: </w:t>
      </w:r>
      <w:r w:rsidR="00C5379D" w:rsidRPr="00AB1C80">
        <w:rPr>
          <w:rFonts w:cs="Arial"/>
          <w:b/>
          <w:bCs/>
          <w:color w:val="000000" w:themeColor="text1"/>
          <w:szCs w:val="24"/>
        </w:rPr>
        <w:t>Alemania</w:t>
      </w:r>
      <w:r w:rsidR="00C5379D" w:rsidRPr="00AB1C80">
        <w:rPr>
          <w:rFonts w:cs="Arial"/>
          <w:color w:val="000000" w:themeColor="text1"/>
          <w:szCs w:val="24"/>
        </w:rPr>
        <w:t xml:space="preserve"> uno </w:t>
      </w:r>
      <w:r w:rsidR="00C5379D" w:rsidRPr="00AB1C80">
        <w:rPr>
          <w:rFonts w:cs="Arial"/>
          <w:b/>
          <w:bCs/>
          <w:color w:val="000000" w:themeColor="text1"/>
          <w:szCs w:val="24"/>
        </w:rPr>
        <w:t>(1)</w:t>
      </w:r>
      <w:r w:rsidR="00C5379D" w:rsidRPr="00AB1C80">
        <w:rPr>
          <w:rFonts w:cs="Arial"/>
          <w:color w:val="000000" w:themeColor="text1"/>
          <w:szCs w:val="24"/>
        </w:rPr>
        <w:t xml:space="preserve">, </w:t>
      </w:r>
      <w:r w:rsidR="00C5379D" w:rsidRPr="00AB1C80">
        <w:rPr>
          <w:rFonts w:cs="Arial"/>
          <w:b/>
          <w:bCs/>
          <w:color w:val="000000" w:themeColor="text1"/>
          <w:szCs w:val="24"/>
        </w:rPr>
        <w:t>Argentina</w:t>
      </w:r>
      <w:r w:rsidR="00C5379D" w:rsidRPr="00AB1C80">
        <w:rPr>
          <w:rFonts w:cs="Arial"/>
          <w:color w:val="000000" w:themeColor="text1"/>
          <w:szCs w:val="24"/>
        </w:rPr>
        <w:t xml:space="preserve"> uno </w:t>
      </w:r>
      <w:r w:rsidR="00C5379D" w:rsidRPr="00AB1C80">
        <w:rPr>
          <w:rFonts w:cs="Arial"/>
          <w:b/>
          <w:bCs/>
          <w:color w:val="000000" w:themeColor="text1"/>
          <w:szCs w:val="24"/>
        </w:rPr>
        <w:t>(1)</w:t>
      </w:r>
      <w:r w:rsidR="00C5379D" w:rsidRPr="00AB1C80">
        <w:rPr>
          <w:rFonts w:cs="Arial"/>
          <w:color w:val="000000" w:themeColor="text1"/>
          <w:szCs w:val="24"/>
        </w:rPr>
        <w:t xml:space="preserve">, </w:t>
      </w:r>
      <w:r w:rsidR="00C5379D" w:rsidRPr="00AB1C80">
        <w:rPr>
          <w:rFonts w:cs="Arial"/>
          <w:b/>
          <w:bCs/>
          <w:color w:val="000000" w:themeColor="text1"/>
          <w:szCs w:val="24"/>
        </w:rPr>
        <w:t>Australia</w:t>
      </w:r>
      <w:r w:rsidR="00C5379D" w:rsidRPr="00AB1C80">
        <w:rPr>
          <w:rFonts w:cs="Arial"/>
          <w:color w:val="000000" w:themeColor="text1"/>
          <w:szCs w:val="24"/>
        </w:rPr>
        <w:t xml:space="preserve"> uno </w:t>
      </w:r>
      <w:r w:rsidR="00C5379D" w:rsidRPr="00AB1C80">
        <w:rPr>
          <w:rFonts w:cs="Arial"/>
          <w:b/>
          <w:bCs/>
          <w:color w:val="000000" w:themeColor="text1"/>
          <w:szCs w:val="24"/>
        </w:rPr>
        <w:t>(1)</w:t>
      </w:r>
      <w:r w:rsidR="00C5379D" w:rsidRPr="00AB1C80">
        <w:rPr>
          <w:rFonts w:cs="Arial"/>
          <w:color w:val="000000" w:themeColor="text1"/>
          <w:szCs w:val="24"/>
        </w:rPr>
        <w:t xml:space="preserve">, </w:t>
      </w:r>
      <w:r w:rsidR="00C5379D" w:rsidRPr="00AB1C80">
        <w:rPr>
          <w:rFonts w:cs="Arial"/>
          <w:b/>
          <w:bCs/>
          <w:color w:val="000000" w:themeColor="text1"/>
          <w:szCs w:val="24"/>
        </w:rPr>
        <w:t>Brasil</w:t>
      </w:r>
      <w:r w:rsidR="00C5379D" w:rsidRPr="00AB1C80">
        <w:rPr>
          <w:rFonts w:cs="Arial"/>
          <w:color w:val="000000" w:themeColor="text1"/>
          <w:szCs w:val="24"/>
        </w:rPr>
        <w:t xml:space="preserve"> </w:t>
      </w:r>
      <w:r w:rsidR="0028730F" w:rsidRPr="00AB1C80">
        <w:rPr>
          <w:rFonts w:cs="Arial"/>
          <w:color w:val="000000" w:themeColor="text1"/>
          <w:szCs w:val="24"/>
        </w:rPr>
        <w:t>dos</w:t>
      </w:r>
      <w:r w:rsidR="00C5379D" w:rsidRPr="00AB1C80">
        <w:rPr>
          <w:rFonts w:cs="Arial"/>
          <w:color w:val="000000" w:themeColor="text1"/>
          <w:szCs w:val="24"/>
        </w:rPr>
        <w:t xml:space="preserve"> </w:t>
      </w:r>
      <w:r w:rsidR="00C5379D" w:rsidRPr="00AB1C80">
        <w:rPr>
          <w:rFonts w:cs="Arial"/>
          <w:b/>
          <w:bCs/>
          <w:color w:val="000000" w:themeColor="text1"/>
          <w:szCs w:val="24"/>
        </w:rPr>
        <w:t>(</w:t>
      </w:r>
      <w:r w:rsidR="0028730F" w:rsidRPr="00AB1C80">
        <w:rPr>
          <w:rFonts w:cs="Arial"/>
          <w:b/>
          <w:bCs/>
          <w:color w:val="000000" w:themeColor="text1"/>
          <w:szCs w:val="24"/>
        </w:rPr>
        <w:t>2</w:t>
      </w:r>
      <w:r w:rsidR="00C5379D" w:rsidRPr="00AB1C80">
        <w:rPr>
          <w:rFonts w:cs="Arial"/>
          <w:b/>
          <w:bCs/>
          <w:color w:val="000000" w:themeColor="text1"/>
          <w:szCs w:val="24"/>
        </w:rPr>
        <w:t>)</w:t>
      </w:r>
      <w:r w:rsidR="00C5379D" w:rsidRPr="00AB1C80">
        <w:rPr>
          <w:rFonts w:cs="Arial"/>
          <w:color w:val="000000" w:themeColor="text1"/>
          <w:szCs w:val="24"/>
        </w:rPr>
        <w:t xml:space="preserve">, </w:t>
      </w:r>
      <w:r w:rsidR="0028730F" w:rsidRPr="00AB1C80">
        <w:rPr>
          <w:rFonts w:cs="Arial"/>
          <w:b/>
          <w:bCs/>
          <w:color w:val="000000" w:themeColor="text1"/>
          <w:szCs w:val="24"/>
        </w:rPr>
        <w:t>Canadá</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Chile</w:t>
      </w:r>
      <w:r w:rsidR="0028730F" w:rsidRPr="00AB1C80">
        <w:rPr>
          <w:rFonts w:cs="Arial"/>
          <w:color w:val="000000" w:themeColor="text1"/>
          <w:szCs w:val="24"/>
        </w:rPr>
        <w:t xml:space="preserve"> </w:t>
      </w:r>
      <w:r w:rsidR="00617738" w:rsidRPr="00AB1C80">
        <w:rPr>
          <w:rFonts w:cs="Arial"/>
          <w:color w:val="000000" w:themeColor="text1"/>
          <w:szCs w:val="24"/>
        </w:rPr>
        <w:t>tres</w:t>
      </w:r>
      <w:r w:rsidR="0028730F" w:rsidRPr="00AB1C80">
        <w:rPr>
          <w:rFonts w:cs="Arial"/>
          <w:color w:val="000000" w:themeColor="text1"/>
          <w:szCs w:val="24"/>
        </w:rPr>
        <w:t xml:space="preserve"> </w:t>
      </w:r>
      <w:r w:rsidR="0028730F" w:rsidRPr="00AB1C80">
        <w:rPr>
          <w:rFonts w:cs="Arial"/>
          <w:b/>
          <w:bCs/>
          <w:color w:val="000000" w:themeColor="text1"/>
          <w:szCs w:val="24"/>
        </w:rPr>
        <w:t>(</w:t>
      </w:r>
      <w:r w:rsidR="00617738" w:rsidRPr="00AB1C80">
        <w:rPr>
          <w:rFonts w:cs="Arial"/>
          <w:b/>
          <w:bCs/>
          <w:color w:val="000000" w:themeColor="text1"/>
          <w:szCs w:val="24"/>
        </w:rPr>
        <w:t>3</w:t>
      </w:r>
      <w:r w:rsidR="0028730F" w:rsidRPr="00AB1C80">
        <w:rPr>
          <w:rFonts w:cs="Arial"/>
          <w:b/>
          <w:bCs/>
          <w:color w:val="000000" w:themeColor="text1"/>
          <w:szCs w:val="24"/>
        </w:rPr>
        <w:t>)</w:t>
      </w:r>
      <w:r w:rsidR="0028730F" w:rsidRPr="00AB1C80">
        <w:rPr>
          <w:rFonts w:cs="Arial"/>
          <w:color w:val="000000" w:themeColor="text1"/>
          <w:szCs w:val="24"/>
        </w:rPr>
        <w:t xml:space="preserve">, </w:t>
      </w:r>
      <w:r w:rsidR="0028730F" w:rsidRPr="00AB1C80">
        <w:rPr>
          <w:rFonts w:cs="Arial"/>
          <w:b/>
          <w:bCs/>
          <w:color w:val="000000" w:themeColor="text1"/>
          <w:szCs w:val="24"/>
        </w:rPr>
        <w:t>China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Colombia</w:t>
      </w:r>
      <w:r w:rsidR="0028730F" w:rsidRPr="00AB1C80">
        <w:rPr>
          <w:rFonts w:cs="Arial"/>
          <w:color w:val="000000" w:themeColor="text1"/>
          <w:szCs w:val="24"/>
        </w:rPr>
        <w:t xml:space="preserve"> doce </w:t>
      </w:r>
      <w:r w:rsidR="0028730F" w:rsidRPr="00AB1C80">
        <w:rPr>
          <w:rFonts w:cs="Arial"/>
          <w:b/>
          <w:bCs/>
          <w:color w:val="000000" w:themeColor="text1"/>
          <w:szCs w:val="24"/>
        </w:rPr>
        <w:t>(12)</w:t>
      </w:r>
      <w:r w:rsidR="0028730F" w:rsidRPr="00AB1C80">
        <w:rPr>
          <w:rFonts w:cs="Arial"/>
          <w:color w:val="000000" w:themeColor="text1"/>
          <w:szCs w:val="24"/>
        </w:rPr>
        <w:t xml:space="preserve">, </w:t>
      </w:r>
      <w:r w:rsidR="0028730F" w:rsidRPr="00AB1C80">
        <w:rPr>
          <w:rFonts w:cs="Arial"/>
          <w:b/>
          <w:bCs/>
          <w:color w:val="000000" w:themeColor="text1"/>
          <w:szCs w:val="24"/>
        </w:rPr>
        <w:t>Corea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Ecuador</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Escocia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Finlandia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India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Japón</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Perú</w:t>
      </w:r>
      <w:r w:rsidR="0028730F" w:rsidRPr="00AB1C80">
        <w:rPr>
          <w:rFonts w:cs="Arial"/>
          <w:color w:val="000000" w:themeColor="text1"/>
          <w:szCs w:val="24"/>
        </w:rPr>
        <w:t xml:space="preserve"> cinco </w:t>
      </w:r>
      <w:r w:rsidR="0028730F" w:rsidRPr="00AB1C80">
        <w:rPr>
          <w:rFonts w:cs="Arial"/>
          <w:b/>
          <w:bCs/>
          <w:color w:val="000000" w:themeColor="text1"/>
          <w:szCs w:val="24"/>
        </w:rPr>
        <w:t>(5)</w:t>
      </w:r>
      <w:r w:rsidR="0028730F" w:rsidRPr="00AB1C80">
        <w:rPr>
          <w:rFonts w:cs="Arial"/>
          <w:color w:val="000000" w:themeColor="text1"/>
          <w:szCs w:val="24"/>
        </w:rPr>
        <w:t xml:space="preserve">, </w:t>
      </w:r>
      <w:r w:rsidR="0028730F" w:rsidRPr="00AB1C80">
        <w:rPr>
          <w:rFonts w:cs="Arial"/>
          <w:b/>
          <w:bCs/>
          <w:color w:val="000000" w:themeColor="text1"/>
          <w:szCs w:val="24"/>
        </w:rPr>
        <w:t>Reino Unido</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28730F" w:rsidRPr="00AB1C80">
        <w:rPr>
          <w:rFonts w:cs="Arial"/>
          <w:color w:val="000000" w:themeColor="text1"/>
          <w:szCs w:val="24"/>
        </w:rPr>
        <w:t xml:space="preserve">, </w:t>
      </w:r>
      <w:r w:rsidR="0028730F" w:rsidRPr="00AB1C80">
        <w:rPr>
          <w:rFonts w:cs="Arial"/>
          <w:b/>
          <w:bCs/>
          <w:color w:val="000000" w:themeColor="text1"/>
          <w:szCs w:val="24"/>
        </w:rPr>
        <w:t>Rusia</w:t>
      </w:r>
      <w:r w:rsidR="0028730F" w:rsidRPr="00AB1C80">
        <w:rPr>
          <w:rFonts w:cs="Arial"/>
          <w:color w:val="000000" w:themeColor="text1"/>
          <w:szCs w:val="24"/>
        </w:rPr>
        <w:t xml:space="preserve"> uno </w:t>
      </w:r>
      <w:r w:rsidR="0028730F" w:rsidRPr="00AB1C80">
        <w:rPr>
          <w:rFonts w:cs="Arial"/>
          <w:b/>
          <w:bCs/>
          <w:color w:val="000000" w:themeColor="text1"/>
          <w:szCs w:val="24"/>
        </w:rPr>
        <w:t>(1)</w:t>
      </w:r>
      <w:r w:rsidR="00FF1A50" w:rsidRPr="00AB1C80">
        <w:rPr>
          <w:rFonts w:cs="Arial"/>
          <w:color w:val="000000" w:themeColor="text1"/>
          <w:szCs w:val="24"/>
        </w:rPr>
        <w:t xml:space="preserve"> y </w:t>
      </w:r>
      <w:r w:rsidR="00617738" w:rsidRPr="00AB1C80">
        <w:rPr>
          <w:rFonts w:cs="Arial"/>
          <w:color w:val="000000" w:themeColor="text1"/>
          <w:szCs w:val="24"/>
        </w:rPr>
        <w:t>nueve</w:t>
      </w:r>
      <w:r w:rsidR="00FF1A50" w:rsidRPr="00AB1C80">
        <w:rPr>
          <w:rFonts w:cs="Arial"/>
          <w:color w:val="000000" w:themeColor="text1"/>
          <w:szCs w:val="24"/>
        </w:rPr>
        <w:t xml:space="preserve"> </w:t>
      </w:r>
      <w:r w:rsidR="00FF1A50" w:rsidRPr="00AB1C80">
        <w:rPr>
          <w:rFonts w:cs="Arial"/>
          <w:b/>
          <w:color w:val="000000" w:themeColor="text1"/>
          <w:szCs w:val="24"/>
        </w:rPr>
        <w:t>(</w:t>
      </w:r>
      <w:r w:rsidR="00617738" w:rsidRPr="00AB1C80">
        <w:rPr>
          <w:rFonts w:cs="Arial"/>
          <w:b/>
          <w:color w:val="000000" w:themeColor="text1"/>
          <w:szCs w:val="24"/>
        </w:rPr>
        <w:t>9</w:t>
      </w:r>
      <w:r w:rsidR="00FF1A50" w:rsidRPr="00AB1C80">
        <w:rPr>
          <w:rFonts w:cs="Arial"/>
          <w:b/>
          <w:color w:val="000000" w:themeColor="text1"/>
          <w:szCs w:val="24"/>
        </w:rPr>
        <w:t>)</w:t>
      </w:r>
      <w:r w:rsidR="00FF1A50" w:rsidRPr="00AB1C80">
        <w:rPr>
          <w:rFonts w:cs="Arial"/>
          <w:color w:val="000000" w:themeColor="text1"/>
          <w:szCs w:val="24"/>
        </w:rPr>
        <w:t xml:space="preserve"> documentos fueron analizados con base en organizaciones internacionales ya que no se logró identificar su país de origen</w:t>
      </w:r>
      <w:r w:rsidRPr="00AB1C80">
        <w:rPr>
          <w:rFonts w:cs="Arial"/>
          <w:color w:val="000000" w:themeColor="text1"/>
          <w:szCs w:val="24"/>
        </w:rPr>
        <w:t>, (ver</w:t>
      </w:r>
      <w:r w:rsidR="00935A11" w:rsidRPr="00AB1C80">
        <w:rPr>
          <w:rFonts w:cs="Arial"/>
          <w:color w:val="000000" w:themeColor="text1"/>
          <w:szCs w:val="24"/>
        </w:rPr>
        <w:t xml:space="preserve"> </w:t>
      </w:r>
      <w:r w:rsidR="00935A11" w:rsidRPr="00AB1C80">
        <w:rPr>
          <w:rFonts w:cs="Arial"/>
          <w:b/>
          <w:bCs/>
          <w:color w:val="000000" w:themeColor="text1"/>
          <w:szCs w:val="24"/>
        </w:rPr>
        <w:fldChar w:fldCharType="begin"/>
      </w:r>
      <w:r w:rsidR="00935A11" w:rsidRPr="00AB1C80">
        <w:rPr>
          <w:rFonts w:cs="Arial"/>
          <w:b/>
          <w:bCs/>
          <w:color w:val="000000" w:themeColor="text1"/>
          <w:szCs w:val="24"/>
        </w:rPr>
        <w:instrText xml:space="preserve"> REF _Ref86253226 \h  \* MERGEFORMAT </w:instrText>
      </w:r>
      <w:r w:rsidR="00935A11" w:rsidRPr="00AB1C80">
        <w:rPr>
          <w:rFonts w:cs="Arial"/>
          <w:b/>
          <w:bCs/>
          <w:color w:val="000000" w:themeColor="text1"/>
          <w:szCs w:val="24"/>
        </w:rPr>
      </w:r>
      <w:r w:rsidR="00935A11" w:rsidRPr="00AB1C80">
        <w:rPr>
          <w:rFonts w:cs="Arial"/>
          <w:b/>
          <w:bCs/>
          <w:color w:val="000000" w:themeColor="text1"/>
          <w:szCs w:val="24"/>
        </w:rPr>
        <w:fldChar w:fldCharType="separate"/>
      </w:r>
      <w:r w:rsidR="00AB1C80" w:rsidRPr="00AB1C80">
        <w:rPr>
          <w:rFonts w:cs="Arial"/>
          <w:b/>
          <w:bCs/>
        </w:rPr>
        <w:t xml:space="preserve">Figura </w:t>
      </w:r>
      <w:r w:rsidR="00AB1C80" w:rsidRPr="00AB1C80">
        <w:rPr>
          <w:rFonts w:cs="Arial"/>
          <w:b/>
          <w:bCs/>
          <w:noProof/>
        </w:rPr>
        <w:t>7</w:t>
      </w:r>
      <w:r w:rsidR="00935A11" w:rsidRPr="00AB1C80">
        <w:rPr>
          <w:rFonts w:cs="Arial"/>
          <w:b/>
          <w:bCs/>
          <w:color w:val="000000" w:themeColor="text1"/>
          <w:szCs w:val="24"/>
        </w:rPr>
        <w:fldChar w:fldCharType="end"/>
      </w:r>
      <w:r w:rsidRPr="00AB1C80">
        <w:rPr>
          <w:rFonts w:cs="Arial"/>
          <w:color w:val="000000" w:themeColor="text1"/>
          <w:szCs w:val="24"/>
        </w:rPr>
        <w:t>).</w:t>
      </w:r>
    </w:p>
    <w:p w14:paraId="4403653B" w14:textId="4A2D1E43" w:rsidR="00A30D83" w:rsidRPr="00AB1C80" w:rsidRDefault="00A30D83" w:rsidP="00AB1C80">
      <w:pPr>
        <w:spacing w:line="276" w:lineRule="auto"/>
        <w:rPr>
          <w:rFonts w:cs="Arial"/>
          <w:color w:val="000000" w:themeColor="text1"/>
          <w:szCs w:val="24"/>
        </w:rPr>
      </w:pPr>
    </w:p>
    <w:p w14:paraId="3FEEDEB6" w14:textId="0D4E7196" w:rsidR="00C5379D" w:rsidRPr="00AB1C80" w:rsidRDefault="00617738" w:rsidP="00AB1C80">
      <w:pPr>
        <w:spacing w:line="276" w:lineRule="auto"/>
        <w:jc w:val="center"/>
        <w:rPr>
          <w:rFonts w:cs="Arial"/>
          <w:color w:val="000000" w:themeColor="text1"/>
          <w:szCs w:val="24"/>
        </w:rPr>
      </w:pPr>
      <w:r w:rsidRPr="00AB1C80">
        <w:rPr>
          <w:rFonts w:cs="Arial"/>
          <w:noProof/>
        </w:rPr>
        <w:drawing>
          <wp:inline distT="0" distB="0" distL="0" distR="0" wp14:anchorId="4FDD679B" wp14:editId="385AC543">
            <wp:extent cx="5206042" cy="2914650"/>
            <wp:effectExtent l="19050" t="19050" r="13970" b="19050"/>
            <wp:docPr id="6" name="Imagen 6"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Gráfico, Gráfico en cascada&#10;&#10;Descripción generada automáticamente"/>
                    <pic:cNvPicPr/>
                  </pic:nvPicPr>
                  <pic:blipFill>
                    <a:blip r:embed="rId15"/>
                    <a:stretch>
                      <a:fillRect/>
                    </a:stretch>
                  </pic:blipFill>
                  <pic:spPr>
                    <a:xfrm>
                      <a:off x="0" y="0"/>
                      <a:ext cx="5207073" cy="2915227"/>
                    </a:xfrm>
                    <a:prstGeom prst="rect">
                      <a:avLst/>
                    </a:prstGeom>
                    <a:ln w="19050">
                      <a:solidFill>
                        <a:schemeClr val="accent5">
                          <a:lumMod val="50000"/>
                        </a:schemeClr>
                      </a:solidFill>
                    </a:ln>
                  </pic:spPr>
                </pic:pic>
              </a:graphicData>
            </a:graphic>
          </wp:inline>
        </w:drawing>
      </w:r>
    </w:p>
    <w:p w14:paraId="6E1AE1DB" w14:textId="4948C4B4" w:rsidR="00A30D83" w:rsidRPr="00AB1C80" w:rsidRDefault="00A30D83" w:rsidP="00AB1C80">
      <w:pPr>
        <w:pStyle w:val="FigurayTabla"/>
        <w:spacing w:line="276" w:lineRule="auto"/>
        <w:rPr>
          <w:rFonts w:cs="Arial"/>
          <w:lang w:val="es-CO"/>
        </w:rPr>
      </w:pPr>
      <w:bookmarkStart w:id="84" w:name="_Ref86253226"/>
      <w:bookmarkStart w:id="85" w:name="_Toc86333004"/>
      <w:r w:rsidRPr="00AB1C80">
        <w:rPr>
          <w:rFonts w:cs="Arial"/>
          <w:lang w:val="es-CO"/>
        </w:rPr>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7</w:t>
      </w:r>
      <w:r w:rsidRPr="00AB1C80">
        <w:rPr>
          <w:rFonts w:cs="Arial"/>
          <w:lang w:val="es-CO"/>
        </w:rPr>
        <w:fldChar w:fldCharType="end"/>
      </w:r>
      <w:bookmarkEnd w:id="84"/>
      <w:r w:rsidRPr="00AB1C80">
        <w:rPr>
          <w:rFonts w:cs="Arial"/>
          <w:lang w:val="es-CO"/>
        </w:rPr>
        <w:t xml:space="preserve">. Información analizada a nivel global sobre </w:t>
      </w:r>
      <w:r w:rsidR="00C5379D" w:rsidRPr="00AB1C80">
        <w:rPr>
          <w:rFonts w:cs="Arial"/>
          <w:lang w:val="es-CO"/>
        </w:rPr>
        <w:t>economía circular</w:t>
      </w:r>
      <w:r w:rsidRPr="00AB1C80">
        <w:rPr>
          <w:rFonts w:cs="Arial"/>
          <w:lang w:val="es-CO"/>
        </w:rPr>
        <w:t>.</w:t>
      </w:r>
      <w:bookmarkEnd w:id="85"/>
    </w:p>
    <w:p w14:paraId="18578DB7" w14:textId="77777777" w:rsidR="00A30D83" w:rsidRPr="00AB1C80" w:rsidRDefault="00A30D83" w:rsidP="00AB1C80">
      <w:pPr>
        <w:pStyle w:val="Fuente"/>
        <w:spacing w:line="276" w:lineRule="auto"/>
        <w:rPr>
          <w:rFonts w:cs="Arial"/>
          <w:lang w:val="es-CO"/>
        </w:rPr>
      </w:pPr>
      <w:r w:rsidRPr="00AB1C80">
        <w:rPr>
          <w:rFonts w:cs="Arial"/>
          <w:lang w:val="es-CO"/>
        </w:rPr>
        <w:t>Fuente: ATG Ltda., 2021.</w:t>
      </w:r>
    </w:p>
    <w:p w14:paraId="71E46265" w14:textId="77777777" w:rsidR="00A30D83" w:rsidRPr="00AB1C80" w:rsidRDefault="00A30D83" w:rsidP="00AB1C80">
      <w:pPr>
        <w:spacing w:line="276" w:lineRule="auto"/>
        <w:jc w:val="center"/>
        <w:rPr>
          <w:rFonts w:cs="Arial"/>
          <w:b/>
          <w:i/>
          <w:color w:val="000000" w:themeColor="text1"/>
          <w:szCs w:val="24"/>
        </w:rPr>
      </w:pPr>
    </w:p>
    <w:p w14:paraId="299074AE" w14:textId="619FB061" w:rsidR="00A30D83" w:rsidRPr="00AB1C80" w:rsidRDefault="00A30D83" w:rsidP="00AB1C80">
      <w:pPr>
        <w:spacing w:line="276" w:lineRule="auto"/>
        <w:rPr>
          <w:rFonts w:cs="Arial"/>
          <w:color w:val="000000" w:themeColor="text1"/>
          <w:szCs w:val="24"/>
        </w:rPr>
      </w:pPr>
      <w:r w:rsidRPr="00AB1C80">
        <w:rPr>
          <w:rFonts w:cs="Arial"/>
          <w:color w:val="000000" w:themeColor="text1"/>
          <w:szCs w:val="24"/>
        </w:rPr>
        <w:t xml:space="preserve">Como resultado de la elaboración de los formatos de recolección de información se logró identificar información de los documentos correspondiente a las temáticas de interés para el desarrollo de la consultoría, necesaria para la construcción y </w:t>
      </w:r>
      <w:r w:rsidRPr="00AB1C80">
        <w:rPr>
          <w:rFonts w:cs="Arial"/>
          <w:color w:val="000000" w:themeColor="text1"/>
          <w:szCs w:val="24"/>
        </w:rPr>
        <w:lastRenderedPageBreak/>
        <w:t>elaboración de los lineamientos, tales como definiciones, parámetros de diseño, forma de llenado del acopio, normatividad, criterios de aceptabilidad y análisis de estabilidad y riesgo.</w:t>
      </w:r>
    </w:p>
    <w:p w14:paraId="0EF22521" w14:textId="77777777" w:rsidR="00A30D83" w:rsidRPr="00AB1C80" w:rsidRDefault="00A30D83" w:rsidP="00AB1C80">
      <w:pPr>
        <w:spacing w:line="276" w:lineRule="auto"/>
        <w:rPr>
          <w:rFonts w:cs="Arial"/>
          <w:color w:val="000000" w:themeColor="text1"/>
          <w:szCs w:val="24"/>
        </w:rPr>
      </w:pPr>
    </w:p>
    <w:p w14:paraId="5641B659" w14:textId="6BF2A8BE" w:rsidR="00C65DC6" w:rsidRPr="00AB1C80" w:rsidRDefault="00C65DC6" w:rsidP="00AB1C80">
      <w:pPr>
        <w:pStyle w:val="Ttulo3"/>
        <w:spacing w:line="276" w:lineRule="auto"/>
        <w:rPr>
          <w:rFonts w:cs="Arial"/>
        </w:rPr>
      </w:pPr>
      <w:bookmarkStart w:id="86" w:name="_Toc86332930"/>
      <w:r w:rsidRPr="00AB1C80">
        <w:rPr>
          <w:rFonts w:cs="Arial"/>
        </w:rPr>
        <w:t>Temática nacional</w:t>
      </w:r>
      <w:bookmarkEnd w:id="86"/>
    </w:p>
    <w:p w14:paraId="1EDA541F" w14:textId="15773BBE" w:rsidR="00B473FF" w:rsidRPr="00AB1C80" w:rsidRDefault="00B473FF" w:rsidP="00AB1C80">
      <w:pPr>
        <w:spacing w:line="276" w:lineRule="auto"/>
        <w:rPr>
          <w:rFonts w:cs="Arial"/>
          <w:color w:val="000000" w:themeColor="text1"/>
        </w:rPr>
      </w:pPr>
    </w:p>
    <w:p w14:paraId="6E2FF83A" w14:textId="5BB0D5C3" w:rsidR="00BC793B" w:rsidRPr="00AB1C80" w:rsidRDefault="00BC793B" w:rsidP="00AB1C80">
      <w:pPr>
        <w:spacing w:line="276" w:lineRule="auto"/>
        <w:rPr>
          <w:rFonts w:cs="Arial"/>
          <w:color w:val="000000" w:themeColor="text1"/>
          <w:szCs w:val="24"/>
        </w:rPr>
      </w:pPr>
      <w:r w:rsidRPr="00AB1C80">
        <w:rPr>
          <w:rFonts w:cs="Arial"/>
          <w:color w:val="000000" w:themeColor="text1"/>
          <w:szCs w:val="24"/>
        </w:rPr>
        <w:t xml:space="preserve">En el proceso de recopilación y análisis de información para la construcción de la propuesta de lineamientos técnicos de política de buenas prácticas para estandarizar los procesos de la actividad minera relacionados con gestión y manejo de estériles, se realizó la revisión de </w:t>
      </w:r>
      <w:r w:rsidR="00044F80" w:rsidRPr="00AB1C80">
        <w:rPr>
          <w:rFonts w:cs="Arial"/>
          <w:color w:val="000000" w:themeColor="text1"/>
          <w:szCs w:val="24"/>
        </w:rPr>
        <w:t>doce</w:t>
      </w:r>
      <w:r w:rsidRPr="00AB1C80">
        <w:rPr>
          <w:rFonts w:cs="Arial"/>
          <w:color w:val="000000" w:themeColor="text1"/>
          <w:szCs w:val="24"/>
        </w:rPr>
        <w:t xml:space="preserve"> </w:t>
      </w:r>
      <w:r w:rsidRPr="00AB1C80">
        <w:rPr>
          <w:rFonts w:cs="Arial"/>
          <w:b/>
          <w:color w:val="000000" w:themeColor="text1"/>
          <w:szCs w:val="24"/>
        </w:rPr>
        <w:t>(1</w:t>
      </w:r>
      <w:r w:rsidR="00044F80" w:rsidRPr="00AB1C80">
        <w:rPr>
          <w:rFonts w:cs="Arial"/>
          <w:b/>
          <w:color w:val="000000" w:themeColor="text1"/>
          <w:szCs w:val="24"/>
        </w:rPr>
        <w:t>2</w:t>
      </w:r>
      <w:r w:rsidRPr="00AB1C80">
        <w:rPr>
          <w:rFonts w:cs="Arial"/>
          <w:b/>
          <w:color w:val="000000" w:themeColor="text1"/>
          <w:szCs w:val="24"/>
        </w:rPr>
        <w:t>)</w:t>
      </w:r>
      <w:r w:rsidRPr="00AB1C80">
        <w:rPr>
          <w:rFonts w:cs="Arial"/>
          <w:color w:val="000000" w:themeColor="text1"/>
          <w:szCs w:val="24"/>
        </w:rPr>
        <w:t xml:space="preserve"> documentos del contexto nacional, publicados entre los años 20</w:t>
      </w:r>
      <w:r w:rsidR="00044F80" w:rsidRPr="00AB1C80">
        <w:rPr>
          <w:rFonts w:cs="Arial"/>
          <w:color w:val="000000" w:themeColor="text1"/>
          <w:szCs w:val="24"/>
        </w:rPr>
        <w:t>18</w:t>
      </w:r>
      <w:r w:rsidRPr="00AB1C80">
        <w:rPr>
          <w:rFonts w:cs="Arial"/>
          <w:color w:val="000000" w:themeColor="text1"/>
          <w:szCs w:val="24"/>
        </w:rPr>
        <w:t xml:space="preserve"> y 202</w:t>
      </w:r>
      <w:r w:rsidR="00044F80" w:rsidRPr="00AB1C80">
        <w:rPr>
          <w:rFonts w:cs="Arial"/>
          <w:color w:val="000000" w:themeColor="text1"/>
          <w:szCs w:val="24"/>
        </w:rPr>
        <w:t>1</w:t>
      </w:r>
      <w:r w:rsidRPr="00AB1C80">
        <w:rPr>
          <w:rFonts w:cs="Arial"/>
          <w:color w:val="000000" w:themeColor="text1"/>
          <w:szCs w:val="24"/>
        </w:rPr>
        <w:t xml:space="preserve"> siendo la mayoría de la última década, estos corresponden a documentos oficiales, guías técnicas, documentos técnicos, estudios normativos, tesis, artículos, presentaciones y otros, generados por instituciones académicas, empresas mineras y el estado colombiano.</w:t>
      </w:r>
    </w:p>
    <w:p w14:paraId="4152B68A" w14:textId="77777777" w:rsidR="00BC793B" w:rsidRPr="00AB1C80" w:rsidRDefault="00BC793B" w:rsidP="00AB1C80">
      <w:pPr>
        <w:spacing w:line="276" w:lineRule="auto"/>
        <w:rPr>
          <w:rFonts w:cs="Arial"/>
          <w:color w:val="000000" w:themeColor="text1"/>
          <w:szCs w:val="24"/>
        </w:rPr>
      </w:pPr>
    </w:p>
    <w:p w14:paraId="1D31B483" w14:textId="11EF3CED" w:rsidR="00BC793B" w:rsidRPr="00AB1C80" w:rsidRDefault="007D3026" w:rsidP="00AB1C80">
      <w:pPr>
        <w:spacing w:line="276" w:lineRule="auto"/>
        <w:rPr>
          <w:rFonts w:cs="Arial"/>
          <w:color w:val="000000" w:themeColor="text1"/>
          <w:szCs w:val="24"/>
        </w:rPr>
      </w:pPr>
      <w:r w:rsidRPr="00AB1C80">
        <w:rPr>
          <w:rFonts w:cs="Arial"/>
          <w:color w:val="000000" w:themeColor="text1"/>
          <w:szCs w:val="24"/>
        </w:rPr>
        <w:t>En la revisión de estos documentos se buscó identificar el desarrollo de la Economía Circular en el país, haciendo énfasis en los procesos y proyectos desarrollados desde el sector minero en los que se realice el aprovechamiento de los recursos y se minimice la generación de residuos</w:t>
      </w:r>
      <w:r w:rsidR="00BC793B" w:rsidRPr="00AB1C80">
        <w:rPr>
          <w:rFonts w:cs="Arial"/>
          <w:color w:val="000000" w:themeColor="text1"/>
          <w:szCs w:val="24"/>
        </w:rPr>
        <w:t xml:space="preserve">, (ver, </w:t>
      </w:r>
      <w:r w:rsidR="00C811F6" w:rsidRPr="00AB1C80">
        <w:rPr>
          <w:rFonts w:cs="Arial"/>
          <w:b/>
          <w:bCs/>
          <w:color w:val="000000" w:themeColor="text1"/>
          <w:szCs w:val="24"/>
        </w:rPr>
        <w:fldChar w:fldCharType="begin"/>
      </w:r>
      <w:r w:rsidR="00C811F6" w:rsidRPr="00AB1C80">
        <w:rPr>
          <w:rFonts w:cs="Arial"/>
          <w:b/>
          <w:bCs/>
          <w:color w:val="000000" w:themeColor="text1"/>
          <w:szCs w:val="24"/>
        </w:rPr>
        <w:instrText xml:space="preserve"> REF _Ref86253269 \h  \* MERGEFORMAT </w:instrText>
      </w:r>
      <w:r w:rsidR="00C811F6" w:rsidRPr="00AB1C80">
        <w:rPr>
          <w:rFonts w:cs="Arial"/>
          <w:b/>
          <w:bCs/>
          <w:color w:val="000000" w:themeColor="text1"/>
          <w:szCs w:val="24"/>
        </w:rPr>
      </w:r>
      <w:r w:rsidR="00C811F6"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18</w:t>
      </w:r>
      <w:r w:rsidR="00C811F6" w:rsidRPr="00AB1C80">
        <w:rPr>
          <w:rFonts w:cs="Arial"/>
          <w:b/>
          <w:bCs/>
          <w:color w:val="000000" w:themeColor="text1"/>
          <w:szCs w:val="24"/>
        </w:rPr>
        <w:fldChar w:fldCharType="end"/>
      </w:r>
      <w:r w:rsidR="00BC793B" w:rsidRPr="00AB1C80">
        <w:rPr>
          <w:rFonts w:cs="Arial"/>
          <w:color w:val="000000" w:themeColor="text1"/>
          <w:szCs w:val="24"/>
        </w:rPr>
        <w:t>)</w:t>
      </w:r>
    </w:p>
    <w:p w14:paraId="16E6BA0B" w14:textId="77777777" w:rsidR="00BC793B" w:rsidRPr="00AB1C80" w:rsidRDefault="00BC793B" w:rsidP="00AB1C80">
      <w:pPr>
        <w:spacing w:line="276" w:lineRule="auto"/>
        <w:rPr>
          <w:rFonts w:cs="Arial"/>
          <w:color w:val="000000" w:themeColor="text1"/>
          <w:szCs w:val="24"/>
        </w:rPr>
      </w:pPr>
    </w:p>
    <w:p w14:paraId="2C7BF12B" w14:textId="1BC3F976" w:rsidR="00BC793B" w:rsidRPr="00AB1C80" w:rsidRDefault="00BC793B" w:rsidP="00AB1C80">
      <w:pPr>
        <w:pStyle w:val="Descripcin"/>
        <w:spacing w:line="276" w:lineRule="auto"/>
        <w:rPr>
          <w:rFonts w:cs="Arial"/>
          <w:lang w:val="es-CO"/>
        </w:rPr>
      </w:pPr>
      <w:bookmarkStart w:id="87" w:name="_Ref86253269"/>
      <w:bookmarkStart w:id="88" w:name="_Toc86333023"/>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18</w:t>
      </w:r>
      <w:r w:rsidRPr="00AB1C80">
        <w:rPr>
          <w:rFonts w:cs="Arial"/>
          <w:lang w:val="es-CO"/>
        </w:rPr>
        <w:fldChar w:fldCharType="end"/>
      </w:r>
      <w:bookmarkEnd w:id="87"/>
      <w:r w:rsidRPr="00AB1C80">
        <w:rPr>
          <w:rFonts w:cs="Arial"/>
          <w:lang w:val="es-CO"/>
        </w:rPr>
        <w:t xml:space="preserve">. Documentos revisados en la temática nacional para </w:t>
      </w:r>
      <w:r w:rsidR="00443CDB" w:rsidRPr="00AB1C80">
        <w:rPr>
          <w:rFonts w:cs="Arial"/>
          <w:lang w:val="es-CO"/>
        </w:rPr>
        <w:t>economía circular</w:t>
      </w:r>
      <w:r w:rsidRPr="00AB1C80">
        <w:rPr>
          <w:rFonts w:cs="Arial"/>
          <w:lang w:val="es-CO"/>
        </w:rPr>
        <w:t>.</w:t>
      </w:r>
      <w:bookmarkEnd w:id="88"/>
    </w:p>
    <w:tbl>
      <w:tblPr>
        <w:tblW w:w="3569" w:type="dxa"/>
        <w:jc w:val="center"/>
        <w:tblLook w:val="04A0" w:firstRow="1" w:lastRow="0" w:firstColumn="1" w:lastColumn="0" w:noHBand="0" w:noVBand="1"/>
      </w:tblPr>
      <w:tblGrid>
        <w:gridCol w:w="1892"/>
        <w:gridCol w:w="1677"/>
      </w:tblGrid>
      <w:tr w:rsidR="00BC793B" w:rsidRPr="00AB1C80" w14:paraId="3FF22C60" w14:textId="77777777" w:rsidTr="00210214">
        <w:trPr>
          <w:trHeight w:val="20"/>
          <w:tblHeader/>
          <w:jc w:val="center"/>
        </w:trPr>
        <w:tc>
          <w:tcPr>
            <w:tcW w:w="1892" w:type="dxa"/>
            <w:tcBorders>
              <w:top w:val="single" w:sz="4" w:space="0" w:color="auto"/>
              <w:left w:val="single" w:sz="4" w:space="0" w:color="auto"/>
              <w:bottom w:val="single" w:sz="4" w:space="0" w:color="auto"/>
              <w:right w:val="single" w:sz="4" w:space="0" w:color="auto"/>
            </w:tcBorders>
            <w:shd w:val="clear" w:color="auto" w:fill="1E345C"/>
            <w:noWrap/>
            <w:vAlign w:val="center"/>
            <w:hideMark/>
          </w:tcPr>
          <w:p w14:paraId="29DFC8CD" w14:textId="77777777" w:rsidR="00BC793B" w:rsidRPr="00AB1C80" w:rsidRDefault="00BC793B"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Tipo de Documento</w:t>
            </w:r>
          </w:p>
        </w:tc>
        <w:tc>
          <w:tcPr>
            <w:tcW w:w="1677" w:type="dxa"/>
            <w:tcBorders>
              <w:top w:val="single" w:sz="4" w:space="0" w:color="auto"/>
              <w:left w:val="nil"/>
              <w:bottom w:val="single" w:sz="4" w:space="0" w:color="auto"/>
              <w:right w:val="single" w:sz="4" w:space="0" w:color="auto"/>
            </w:tcBorders>
            <w:shd w:val="clear" w:color="auto" w:fill="1E345C"/>
            <w:noWrap/>
            <w:vAlign w:val="center"/>
            <w:hideMark/>
          </w:tcPr>
          <w:p w14:paraId="09273392" w14:textId="77777777" w:rsidR="00BC793B" w:rsidRPr="00AB1C80" w:rsidRDefault="00BC793B"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Nacional</w:t>
            </w:r>
          </w:p>
        </w:tc>
      </w:tr>
      <w:tr w:rsidR="00BC793B" w:rsidRPr="00AB1C80" w14:paraId="7F4562CC"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489D2B87"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Oficial</w:t>
            </w:r>
          </w:p>
        </w:tc>
        <w:tc>
          <w:tcPr>
            <w:tcW w:w="1677" w:type="dxa"/>
            <w:tcBorders>
              <w:top w:val="nil"/>
              <w:left w:val="nil"/>
              <w:bottom w:val="single" w:sz="4" w:space="0" w:color="auto"/>
              <w:right w:val="single" w:sz="4" w:space="0" w:color="auto"/>
            </w:tcBorders>
            <w:shd w:val="clear" w:color="auto" w:fill="auto"/>
            <w:noWrap/>
            <w:vAlign w:val="center"/>
          </w:tcPr>
          <w:p w14:paraId="509BACEA" w14:textId="20ECD1D1"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49A3DAE4"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23EC2B7D"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Guía Técnica</w:t>
            </w:r>
          </w:p>
        </w:tc>
        <w:tc>
          <w:tcPr>
            <w:tcW w:w="1677" w:type="dxa"/>
            <w:tcBorders>
              <w:top w:val="nil"/>
              <w:left w:val="nil"/>
              <w:bottom w:val="single" w:sz="4" w:space="0" w:color="auto"/>
              <w:right w:val="single" w:sz="4" w:space="0" w:color="auto"/>
            </w:tcBorders>
            <w:shd w:val="clear" w:color="auto" w:fill="auto"/>
            <w:noWrap/>
            <w:vAlign w:val="center"/>
          </w:tcPr>
          <w:p w14:paraId="364D2C28" w14:textId="24C14C50"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3</w:t>
            </w:r>
          </w:p>
        </w:tc>
      </w:tr>
      <w:tr w:rsidR="00BC793B" w:rsidRPr="00AB1C80" w14:paraId="6186DB18"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2E1126EF"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Técnico</w:t>
            </w:r>
          </w:p>
        </w:tc>
        <w:tc>
          <w:tcPr>
            <w:tcW w:w="1677" w:type="dxa"/>
            <w:tcBorders>
              <w:top w:val="nil"/>
              <w:left w:val="nil"/>
              <w:bottom w:val="single" w:sz="4" w:space="0" w:color="auto"/>
              <w:right w:val="single" w:sz="4" w:space="0" w:color="auto"/>
            </w:tcBorders>
            <w:shd w:val="clear" w:color="auto" w:fill="auto"/>
            <w:noWrap/>
            <w:vAlign w:val="center"/>
          </w:tcPr>
          <w:p w14:paraId="630F6AF3" w14:textId="383A043C"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56C842F6"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0D901A5D"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Estudio Normativo</w:t>
            </w:r>
          </w:p>
        </w:tc>
        <w:tc>
          <w:tcPr>
            <w:tcW w:w="1677" w:type="dxa"/>
            <w:tcBorders>
              <w:top w:val="nil"/>
              <w:left w:val="nil"/>
              <w:bottom w:val="single" w:sz="4" w:space="0" w:color="auto"/>
              <w:right w:val="single" w:sz="4" w:space="0" w:color="auto"/>
            </w:tcBorders>
            <w:shd w:val="clear" w:color="auto" w:fill="auto"/>
            <w:noWrap/>
            <w:vAlign w:val="center"/>
          </w:tcPr>
          <w:p w14:paraId="6C5011D0" w14:textId="242CDA85" w:rsidR="00BC793B" w:rsidRPr="00AB1C80" w:rsidRDefault="00E75578"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273CEC6D"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5BBDAE82"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Tesis</w:t>
            </w:r>
          </w:p>
        </w:tc>
        <w:tc>
          <w:tcPr>
            <w:tcW w:w="1677" w:type="dxa"/>
            <w:tcBorders>
              <w:top w:val="nil"/>
              <w:left w:val="nil"/>
              <w:bottom w:val="single" w:sz="4" w:space="0" w:color="auto"/>
              <w:right w:val="single" w:sz="4" w:space="0" w:color="auto"/>
            </w:tcBorders>
            <w:shd w:val="clear" w:color="auto" w:fill="auto"/>
            <w:noWrap/>
            <w:vAlign w:val="center"/>
          </w:tcPr>
          <w:p w14:paraId="16DC9496" w14:textId="2A12DF9C"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52C08670"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6746D255"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Artículo</w:t>
            </w:r>
          </w:p>
        </w:tc>
        <w:tc>
          <w:tcPr>
            <w:tcW w:w="1677" w:type="dxa"/>
            <w:tcBorders>
              <w:top w:val="nil"/>
              <w:left w:val="nil"/>
              <w:bottom w:val="single" w:sz="4" w:space="0" w:color="auto"/>
              <w:right w:val="single" w:sz="4" w:space="0" w:color="auto"/>
            </w:tcBorders>
            <w:shd w:val="clear" w:color="auto" w:fill="auto"/>
            <w:noWrap/>
            <w:vAlign w:val="center"/>
          </w:tcPr>
          <w:p w14:paraId="230004B0" w14:textId="4F1CDA3A"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47389E09"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3EF260DC"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Presentación</w:t>
            </w:r>
          </w:p>
        </w:tc>
        <w:tc>
          <w:tcPr>
            <w:tcW w:w="1677" w:type="dxa"/>
            <w:tcBorders>
              <w:top w:val="nil"/>
              <w:left w:val="nil"/>
              <w:bottom w:val="single" w:sz="4" w:space="0" w:color="auto"/>
              <w:right w:val="single" w:sz="4" w:space="0" w:color="auto"/>
            </w:tcBorders>
            <w:shd w:val="clear" w:color="auto" w:fill="auto"/>
            <w:noWrap/>
            <w:vAlign w:val="center"/>
          </w:tcPr>
          <w:p w14:paraId="737AC085" w14:textId="6486FFDE"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2EF1097B"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62139283"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Otros Documentos</w:t>
            </w:r>
          </w:p>
        </w:tc>
        <w:tc>
          <w:tcPr>
            <w:tcW w:w="1677" w:type="dxa"/>
            <w:tcBorders>
              <w:top w:val="nil"/>
              <w:left w:val="nil"/>
              <w:bottom w:val="single" w:sz="4" w:space="0" w:color="auto"/>
              <w:right w:val="single" w:sz="4" w:space="0" w:color="auto"/>
            </w:tcBorders>
            <w:shd w:val="clear" w:color="auto" w:fill="auto"/>
            <w:noWrap/>
            <w:vAlign w:val="center"/>
          </w:tcPr>
          <w:p w14:paraId="23E8A43A" w14:textId="26995CBA" w:rsidR="00BC793B" w:rsidRPr="00AB1C80" w:rsidRDefault="00655F39"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5</w:t>
            </w:r>
          </w:p>
        </w:tc>
      </w:tr>
    </w:tbl>
    <w:p w14:paraId="7005874D" w14:textId="77777777" w:rsidR="00BC793B" w:rsidRPr="00AB1C80" w:rsidRDefault="00BC793B" w:rsidP="00AB1C80">
      <w:pPr>
        <w:pStyle w:val="Fuente"/>
        <w:spacing w:line="276" w:lineRule="auto"/>
        <w:rPr>
          <w:rFonts w:cs="Arial"/>
          <w:lang w:val="es-CO"/>
        </w:rPr>
      </w:pPr>
      <w:r w:rsidRPr="00AB1C80">
        <w:rPr>
          <w:rFonts w:cs="Arial"/>
          <w:lang w:val="es-CO"/>
        </w:rPr>
        <w:t>Fuente: ATG Ltda., 2021.</w:t>
      </w:r>
    </w:p>
    <w:p w14:paraId="1F248A17" w14:textId="77777777" w:rsidR="00BC793B" w:rsidRPr="00AB1C80" w:rsidRDefault="00BC793B" w:rsidP="00AB1C80">
      <w:pPr>
        <w:spacing w:line="276" w:lineRule="auto"/>
        <w:rPr>
          <w:rFonts w:cs="Arial"/>
          <w:color w:val="000000" w:themeColor="text1"/>
          <w:szCs w:val="24"/>
        </w:rPr>
      </w:pPr>
    </w:p>
    <w:p w14:paraId="615E0AE4" w14:textId="3EDB0682" w:rsidR="00D43EB2" w:rsidRPr="00AB1C80" w:rsidRDefault="00BC793B" w:rsidP="00AB1C80">
      <w:pPr>
        <w:spacing w:line="276" w:lineRule="auto"/>
        <w:rPr>
          <w:rFonts w:cs="Arial"/>
          <w:color w:val="000000" w:themeColor="text1"/>
          <w:szCs w:val="24"/>
        </w:rPr>
      </w:pPr>
      <w:r w:rsidRPr="00AB1C80">
        <w:rPr>
          <w:rFonts w:cs="Arial"/>
          <w:color w:val="000000" w:themeColor="text1"/>
          <w:szCs w:val="24"/>
        </w:rPr>
        <w:t xml:space="preserve">A continuación, en las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_Ref86256768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19</w:t>
      </w:r>
      <w:r w:rsidR="00F02581" w:rsidRPr="00AB1C80">
        <w:rPr>
          <w:rFonts w:cs="Arial"/>
          <w:b/>
          <w:bCs/>
          <w:color w:val="000000" w:themeColor="text1"/>
          <w:szCs w:val="24"/>
        </w:rPr>
        <w:fldChar w:fldCharType="end"/>
      </w:r>
      <w:r w:rsidR="00F02581" w:rsidRPr="00AB1C80">
        <w:rPr>
          <w:rFonts w:cs="Arial"/>
          <w:b/>
          <w:bCs/>
          <w:color w:val="000000" w:themeColor="text1"/>
          <w:szCs w:val="24"/>
        </w:rPr>
        <w:t xml:space="preserve">,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_Ref86256770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20</w:t>
      </w:r>
      <w:r w:rsidR="00F02581" w:rsidRPr="00AB1C80">
        <w:rPr>
          <w:rFonts w:cs="Arial"/>
          <w:b/>
          <w:bCs/>
          <w:color w:val="000000" w:themeColor="text1"/>
          <w:szCs w:val="24"/>
        </w:rPr>
        <w:fldChar w:fldCharType="end"/>
      </w:r>
      <w:r w:rsidR="00F02581" w:rsidRPr="00AB1C80">
        <w:rPr>
          <w:rFonts w:cs="Arial"/>
          <w:b/>
          <w:bCs/>
          <w:color w:val="000000" w:themeColor="text1"/>
          <w:szCs w:val="24"/>
        </w:rPr>
        <w:t xml:space="preserve">,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_Ref86256772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21</w:t>
      </w:r>
      <w:r w:rsidR="00F02581" w:rsidRPr="00AB1C80">
        <w:rPr>
          <w:rFonts w:cs="Arial"/>
          <w:b/>
          <w:bCs/>
          <w:color w:val="000000" w:themeColor="text1"/>
          <w:szCs w:val="24"/>
        </w:rPr>
        <w:fldChar w:fldCharType="end"/>
      </w:r>
      <w:r w:rsidR="00F02581" w:rsidRPr="00AB1C80">
        <w:rPr>
          <w:rFonts w:cs="Arial"/>
          <w:b/>
          <w:bCs/>
          <w:color w:val="000000" w:themeColor="text1"/>
          <w:szCs w:val="24"/>
        </w:rPr>
        <w:t xml:space="preserve">,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_Ref86256773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22</w:t>
      </w:r>
      <w:r w:rsidR="00F02581" w:rsidRPr="00AB1C80">
        <w:rPr>
          <w:rFonts w:cs="Arial"/>
          <w:b/>
          <w:bCs/>
          <w:color w:val="000000" w:themeColor="text1"/>
          <w:szCs w:val="24"/>
        </w:rPr>
        <w:fldChar w:fldCharType="end"/>
      </w:r>
      <w:r w:rsidR="00F02581" w:rsidRPr="00AB1C80">
        <w:rPr>
          <w:rFonts w:cs="Arial"/>
          <w:b/>
          <w:bCs/>
          <w:color w:val="000000" w:themeColor="text1"/>
          <w:szCs w:val="24"/>
        </w:rPr>
        <w:t xml:space="preserve">,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_Ref86256775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23</w:t>
      </w:r>
      <w:r w:rsidR="00F02581" w:rsidRPr="00AB1C80">
        <w:rPr>
          <w:rFonts w:cs="Arial"/>
          <w:b/>
          <w:bCs/>
          <w:color w:val="000000" w:themeColor="text1"/>
          <w:szCs w:val="24"/>
        </w:rPr>
        <w:fldChar w:fldCharType="end"/>
      </w:r>
      <w:r w:rsidR="00F02581" w:rsidRPr="00AB1C80">
        <w:rPr>
          <w:rFonts w:cs="Arial"/>
          <w:b/>
          <w:bCs/>
          <w:color w:val="000000" w:themeColor="text1"/>
          <w:szCs w:val="24"/>
        </w:rPr>
        <w:t xml:space="preserve"> </w:t>
      </w:r>
      <w:r w:rsidR="00F02581" w:rsidRPr="00AB1C80">
        <w:rPr>
          <w:rFonts w:cs="Arial"/>
          <w:color w:val="000000" w:themeColor="text1"/>
          <w:szCs w:val="24"/>
        </w:rPr>
        <w:t xml:space="preserve">y </w:t>
      </w:r>
      <w:r w:rsidR="00F02581" w:rsidRPr="00AB1C80">
        <w:rPr>
          <w:rFonts w:cs="Arial"/>
          <w:b/>
          <w:bCs/>
          <w:color w:val="000000" w:themeColor="text1"/>
          <w:szCs w:val="24"/>
        </w:rPr>
        <w:fldChar w:fldCharType="begin"/>
      </w:r>
      <w:r w:rsidR="00F02581" w:rsidRPr="00AB1C80">
        <w:rPr>
          <w:rFonts w:cs="Arial"/>
          <w:b/>
          <w:bCs/>
          <w:color w:val="000000" w:themeColor="text1"/>
          <w:szCs w:val="24"/>
        </w:rPr>
        <w:instrText xml:space="preserve"> REF _Ref86256777 \h  \* MERGEFORMAT </w:instrText>
      </w:r>
      <w:r w:rsidR="00F02581" w:rsidRPr="00AB1C80">
        <w:rPr>
          <w:rFonts w:cs="Arial"/>
          <w:b/>
          <w:bCs/>
          <w:color w:val="000000" w:themeColor="text1"/>
          <w:szCs w:val="24"/>
        </w:rPr>
      </w:r>
      <w:r w:rsidR="00F02581"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24</w:t>
      </w:r>
      <w:r w:rsidR="00F02581" w:rsidRPr="00AB1C80">
        <w:rPr>
          <w:rFonts w:cs="Arial"/>
          <w:b/>
          <w:bCs/>
          <w:color w:val="000000" w:themeColor="text1"/>
          <w:szCs w:val="24"/>
        </w:rPr>
        <w:fldChar w:fldCharType="end"/>
      </w:r>
      <w:r w:rsidRPr="00AB1C80">
        <w:rPr>
          <w:rFonts w:cs="Arial"/>
          <w:b/>
          <w:color w:val="000000" w:themeColor="text1"/>
          <w:szCs w:val="24"/>
        </w:rPr>
        <w:t>,</w:t>
      </w:r>
      <w:r w:rsidRPr="00AB1C80">
        <w:rPr>
          <w:rFonts w:cs="Arial"/>
          <w:color w:val="000000" w:themeColor="text1"/>
          <w:szCs w:val="24"/>
        </w:rPr>
        <w:t xml:space="preserve"> </w:t>
      </w:r>
      <w:r w:rsidR="00FD7604" w:rsidRPr="00AB1C80">
        <w:rPr>
          <w:rFonts w:cs="Arial"/>
          <w:color w:val="000000" w:themeColor="text1"/>
          <w:szCs w:val="24"/>
        </w:rPr>
        <w:t xml:space="preserve">se presenta la revisión de información nacional respecto a gestión y manejo de los estériles, en forma de análisis, critica e interpretación de cada documento, en las tablas se encuentra de manera reducida la información, ya que en el </w:t>
      </w:r>
      <w:r w:rsidR="00FD7604" w:rsidRPr="00AB1C80">
        <w:rPr>
          <w:rFonts w:cs="Arial"/>
          <w:b/>
          <w:bCs/>
          <w:color w:val="000000" w:themeColor="text1"/>
          <w:szCs w:val="24"/>
        </w:rPr>
        <w:t>Anexo 1</w:t>
      </w:r>
      <w:r w:rsidR="00FD7604" w:rsidRPr="00AB1C80">
        <w:rPr>
          <w:rFonts w:cs="Arial"/>
          <w:color w:val="000000" w:themeColor="text1"/>
          <w:szCs w:val="24"/>
        </w:rPr>
        <w:t xml:space="preserve"> se encuentra cada documento con información amplia y detallada de la interpretación realizada.</w:t>
      </w:r>
    </w:p>
    <w:p w14:paraId="1CAE595D" w14:textId="77777777" w:rsidR="00BC793B" w:rsidRPr="00AB1C80" w:rsidRDefault="00BC793B" w:rsidP="00AB1C80">
      <w:pPr>
        <w:spacing w:line="276" w:lineRule="auto"/>
        <w:rPr>
          <w:rFonts w:cs="Arial"/>
          <w:color w:val="000000" w:themeColor="text1"/>
        </w:rPr>
      </w:pPr>
    </w:p>
    <w:p w14:paraId="4A60125A" w14:textId="77777777" w:rsidR="00DE2BF8" w:rsidRPr="00AB1C80" w:rsidRDefault="00DE2BF8" w:rsidP="00AB1C80">
      <w:pPr>
        <w:pStyle w:val="Ttulo4"/>
        <w:spacing w:line="276" w:lineRule="auto"/>
        <w:rPr>
          <w:rFonts w:ascii="Arial" w:hAnsi="Arial"/>
        </w:rPr>
      </w:pPr>
      <w:bookmarkStart w:id="89" w:name="_Toc86332931"/>
      <w:r w:rsidRPr="00AB1C80">
        <w:rPr>
          <w:rFonts w:ascii="Arial" w:hAnsi="Arial"/>
        </w:rPr>
        <w:t>Documentación recopilada</w:t>
      </w:r>
      <w:bookmarkEnd w:id="89"/>
    </w:p>
    <w:p w14:paraId="5970CD90" w14:textId="77777777" w:rsidR="00EC1D7A" w:rsidRPr="00AB1C80" w:rsidRDefault="00EC1D7A" w:rsidP="00AB1C80">
      <w:pPr>
        <w:spacing w:line="276" w:lineRule="auto"/>
        <w:rPr>
          <w:rFonts w:cs="Arial"/>
          <w:color w:val="000000" w:themeColor="text1"/>
        </w:rPr>
        <w:sectPr w:rsidR="00EC1D7A" w:rsidRPr="00AB1C80" w:rsidSect="00A84705">
          <w:pgSz w:w="12240" w:h="15840"/>
          <w:pgMar w:top="1418" w:right="1701" w:bottom="1418" w:left="1701" w:header="709" w:footer="709" w:gutter="0"/>
          <w:cols w:space="708"/>
          <w:docGrid w:linePitch="360"/>
        </w:sectPr>
      </w:pPr>
    </w:p>
    <w:p w14:paraId="5FC478B2" w14:textId="18F6A3ED" w:rsidR="00EC1D7A" w:rsidRPr="00AB1C80" w:rsidRDefault="00EC1D7A" w:rsidP="00AB1C80">
      <w:pPr>
        <w:pStyle w:val="Descripcin"/>
        <w:spacing w:line="276" w:lineRule="auto"/>
        <w:rPr>
          <w:rFonts w:cs="Arial"/>
          <w:lang w:val="es-CO"/>
        </w:rPr>
      </w:pPr>
      <w:bookmarkStart w:id="90" w:name="_Ref86256768"/>
      <w:bookmarkStart w:id="91" w:name="_Toc86333024"/>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19</w:t>
      </w:r>
      <w:r w:rsidRPr="00AB1C80">
        <w:rPr>
          <w:rFonts w:cs="Arial"/>
          <w:lang w:val="es-CO"/>
        </w:rPr>
        <w:fldChar w:fldCharType="end"/>
      </w:r>
      <w:bookmarkEnd w:id="90"/>
      <w:r w:rsidRPr="00AB1C80">
        <w:rPr>
          <w:rFonts w:cs="Arial"/>
          <w:lang w:val="es-CO"/>
        </w:rPr>
        <w:t xml:space="preserve">. Revisión de información nacional por artículos para </w:t>
      </w:r>
      <w:r w:rsidR="00443CDB" w:rsidRPr="00AB1C80">
        <w:rPr>
          <w:rFonts w:cs="Arial"/>
          <w:lang w:val="es-CO"/>
        </w:rPr>
        <w:t>economía circular</w:t>
      </w:r>
      <w:r w:rsidRPr="00AB1C80">
        <w:rPr>
          <w:rFonts w:cs="Arial"/>
          <w:lang w:val="es-CO"/>
        </w:rPr>
        <w:t>.</w:t>
      </w:r>
      <w:bookmarkEnd w:id="91"/>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8"/>
        <w:gridCol w:w="1559"/>
        <w:gridCol w:w="1377"/>
        <w:gridCol w:w="8602"/>
      </w:tblGrid>
      <w:tr w:rsidR="00DA0159" w:rsidRPr="00AB1C80" w14:paraId="3DAE06F1" w14:textId="77777777" w:rsidTr="00DA0159">
        <w:trPr>
          <w:trHeight w:val="16"/>
          <w:jc w:val="center"/>
        </w:trPr>
        <w:tc>
          <w:tcPr>
            <w:tcW w:w="2638" w:type="dxa"/>
            <w:shd w:val="clear" w:color="1E345C" w:fill="1E345C"/>
            <w:vAlign w:val="center"/>
            <w:hideMark/>
          </w:tcPr>
          <w:p w14:paraId="1526BD61" w14:textId="77777777" w:rsidR="00DA0159" w:rsidRPr="003D5CFC" w:rsidRDefault="00DA0159" w:rsidP="00AB1C80">
            <w:pPr>
              <w:spacing w:line="276" w:lineRule="auto"/>
              <w:jc w:val="center"/>
              <w:rPr>
                <w:rFonts w:eastAsia="Times New Roman" w:cs="Arial"/>
                <w:b/>
                <w:bCs/>
                <w:color w:val="FFFFFF"/>
                <w:sz w:val="20"/>
                <w:szCs w:val="20"/>
                <w:lang w:eastAsia="es-CO"/>
              </w:rPr>
            </w:pPr>
            <w:r w:rsidRPr="003D5CFC">
              <w:rPr>
                <w:rFonts w:eastAsia="Times New Roman" w:cs="Arial"/>
                <w:b/>
                <w:bCs/>
                <w:color w:val="FFFFFF"/>
                <w:sz w:val="20"/>
                <w:szCs w:val="20"/>
                <w:lang w:eastAsia="es-CO"/>
              </w:rPr>
              <w:t>Nombre del Documento</w:t>
            </w:r>
          </w:p>
        </w:tc>
        <w:tc>
          <w:tcPr>
            <w:tcW w:w="1559" w:type="dxa"/>
            <w:shd w:val="clear" w:color="1E345C" w:fill="1E345C"/>
            <w:vAlign w:val="center"/>
            <w:hideMark/>
          </w:tcPr>
          <w:p w14:paraId="0A3BFFDE" w14:textId="77777777" w:rsidR="00DA0159" w:rsidRPr="003D5CFC" w:rsidRDefault="00DA0159" w:rsidP="00AB1C80">
            <w:pPr>
              <w:spacing w:line="276" w:lineRule="auto"/>
              <w:jc w:val="center"/>
              <w:rPr>
                <w:rFonts w:eastAsia="Times New Roman" w:cs="Arial"/>
                <w:b/>
                <w:bCs/>
                <w:color w:val="FFFFFF"/>
                <w:sz w:val="20"/>
                <w:szCs w:val="20"/>
                <w:lang w:eastAsia="es-CO"/>
              </w:rPr>
            </w:pPr>
            <w:r w:rsidRPr="003D5CFC">
              <w:rPr>
                <w:rFonts w:eastAsia="Times New Roman" w:cs="Arial"/>
                <w:b/>
                <w:bCs/>
                <w:color w:val="FFFFFF"/>
                <w:sz w:val="20"/>
                <w:szCs w:val="20"/>
                <w:lang w:eastAsia="es-CO"/>
              </w:rPr>
              <w:t>Autor(es)</w:t>
            </w:r>
          </w:p>
        </w:tc>
        <w:tc>
          <w:tcPr>
            <w:tcW w:w="1377" w:type="dxa"/>
            <w:shd w:val="clear" w:color="1E345C" w:fill="1E345C"/>
            <w:vAlign w:val="center"/>
            <w:hideMark/>
          </w:tcPr>
          <w:p w14:paraId="3AD3A205" w14:textId="77777777" w:rsidR="00DA0159" w:rsidRPr="003D5CFC" w:rsidRDefault="00DA0159" w:rsidP="00AB1C80">
            <w:pPr>
              <w:spacing w:line="276" w:lineRule="auto"/>
              <w:jc w:val="center"/>
              <w:rPr>
                <w:rFonts w:eastAsia="Times New Roman" w:cs="Arial"/>
                <w:b/>
                <w:bCs/>
                <w:color w:val="FFFFFF"/>
                <w:sz w:val="20"/>
                <w:szCs w:val="20"/>
                <w:lang w:eastAsia="es-CO"/>
              </w:rPr>
            </w:pPr>
            <w:r w:rsidRPr="003D5CFC">
              <w:rPr>
                <w:rFonts w:eastAsia="Times New Roman" w:cs="Arial"/>
                <w:b/>
                <w:bCs/>
                <w:color w:val="FFFFFF"/>
                <w:sz w:val="20"/>
                <w:szCs w:val="20"/>
                <w:lang w:eastAsia="es-CO"/>
              </w:rPr>
              <w:t>Año de Publicación</w:t>
            </w:r>
          </w:p>
        </w:tc>
        <w:tc>
          <w:tcPr>
            <w:tcW w:w="8602" w:type="dxa"/>
            <w:shd w:val="clear" w:color="1E345C" w:fill="1E345C"/>
            <w:vAlign w:val="center"/>
            <w:hideMark/>
          </w:tcPr>
          <w:p w14:paraId="63FB6066" w14:textId="77777777" w:rsidR="00DA0159" w:rsidRPr="003D5CFC" w:rsidRDefault="00DA0159" w:rsidP="00AB1C80">
            <w:pPr>
              <w:spacing w:line="276" w:lineRule="auto"/>
              <w:jc w:val="center"/>
              <w:rPr>
                <w:rFonts w:eastAsia="Times New Roman" w:cs="Arial"/>
                <w:b/>
                <w:bCs/>
                <w:color w:val="FFFFFF"/>
                <w:sz w:val="20"/>
                <w:szCs w:val="20"/>
                <w:lang w:eastAsia="es-CO"/>
              </w:rPr>
            </w:pPr>
            <w:r w:rsidRPr="003D5CFC">
              <w:rPr>
                <w:rFonts w:eastAsia="Times New Roman" w:cs="Arial"/>
                <w:b/>
                <w:bCs/>
                <w:color w:val="FFFFFF"/>
                <w:sz w:val="20"/>
                <w:szCs w:val="20"/>
                <w:lang w:eastAsia="es-CO"/>
              </w:rPr>
              <w:t>Análisis, critica e interpretación</w:t>
            </w:r>
          </w:p>
        </w:tc>
      </w:tr>
      <w:tr w:rsidR="00DA0159" w:rsidRPr="00AB1C80" w14:paraId="0784E8F4" w14:textId="77777777" w:rsidTr="00DA0159">
        <w:trPr>
          <w:trHeight w:val="16"/>
          <w:jc w:val="center"/>
        </w:trPr>
        <w:tc>
          <w:tcPr>
            <w:tcW w:w="2638" w:type="dxa"/>
            <w:shd w:val="clear" w:color="auto" w:fill="auto"/>
            <w:vAlign w:val="center"/>
            <w:hideMark/>
          </w:tcPr>
          <w:p w14:paraId="204D39C6" w14:textId="77777777" w:rsidR="00DA0159" w:rsidRPr="003D5CFC" w:rsidRDefault="00DA0159" w:rsidP="00AB1C80">
            <w:pPr>
              <w:spacing w:line="276" w:lineRule="auto"/>
              <w:jc w:val="center"/>
              <w:rPr>
                <w:rFonts w:eastAsia="Times New Roman" w:cs="Arial"/>
                <w:color w:val="000000"/>
                <w:sz w:val="20"/>
                <w:szCs w:val="20"/>
                <w:lang w:eastAsia="es-CO"/>
              </w:rPr>
            </w:pPr>
            <w:r w:rsidRPr="003D5CFC">
              <w:rPr>
                <w:rFonts w:eastAsia="Times New Roman" w:cs="Arial"/>
                <w:color w:val="000000"/>
                <w:sz w:val="20"/>
                <w:szCs w:val="20"/>
                <w:lang w:eastAsia="es-CO"/>
              </w:rPr>
              <w:t xml:space="preserve">Plastics Circularity Market Study In Colombia Plastics </w:t>
            </w:r>
          </w:p>
        </w:tc>
        <w:tc>
          <w:tcPr>
            <w:tcW w:w="1559" w:type="dxa"/>
            <w:shd w:val="clear" w:color="auto" w:fill="auto"/>
            <w:vAlign w:val="center"/>
            <w:hideMark/>
          </w:tcPr>
          <w:p w14:paraId="4DAE1D06" w14:textId="77777777" w:rsidR="00DA0159" w:rsidRPr="003D5CFC" w:rsidRDefault="00DA0159" w:rsidP="00AB1C80">
            <w:pPr>
              <w:spacing w:line="276" w:lineRule="auto"/>
              <w:jc w:val="center"/>
              <w:rPr>
                <w:rFonts w:eastAsia="Times New Roman" w:cs="Arial"/>
                <w:color w:val="000000"/>
                <w:sz w:val="20"/>
                <w:szCs w:val="20"/>
                <w:lang w:eastAsia="es-CO"/>
              </w:rPr>
            </w:pPr>
            <w:r w:rsidRPr="003D5CFC">
              <w:rPr>
                <w:rFonts w:eastAsia="Times New Roman" w:cs="Arial"/>
                <w:color w:val="000000"/>
                <w:sz w:val="20"/>
                <w:szCs w:val="20"/>
                <w:lang w:eastAsia="es-CO"/>
              </w:rPr>
              <w:t>IFC</w:t>
            </w:r>
          </w:p>
        </w:tc>
        <w:tc>
          <w:tcPr>
            <w:tcW w:w="1377" w:type="dxa"/>
            <w:shd w:val="clear" w:color="auto" w:fill="auto"/>
            <w:vAlign w:val="center"/>
            <w:hideMark/>
          </w:tcPr>
          <w:p w14:paraId="2B9C3C95" w14:textId="77777777" w:rsidR="00DA0159" w:rsidRPr="003D5CFC" w:rsidRDefault="00DA0159" w:rsidP="00AB1C80">
            <w:pPr>
              <w:spacing w:line="276" w:lineRule="auto"/>
              <w:jc w:val="center"/>
              <w:rPr>
                <w:rFonts w:eastAsia="Times New Roman" w:cs="Arial"/>
                <w:color w:val="000000"/>
                <w:sz w:val="20"/>
                <w:szCs w:val="20"/>
                <w:lang w:eastAsia="es-CO"/>
              </w:rPr>
            </w:pPr>
            <w:r w:rsidRPr="003D5CFC">
              <w:rPr>
                <w:rFonts w:eastAsia="Times New Roman" w:cs="Arial"/>
                <w:color w:val="000000"/>
                <w:sz w:val="20"/>
                <w:szCs w:val="20"/>
                <w:lang w:eastAsia="es-CO"/>
              </w:rPr>
              <w:t>2021</w:t>
            </w:r>
          </w:p>
        </w:tc>
        <w:tc>
          <w:tcPr>
            <w:tcW w:w="8602" w:type="dxa"/>
            <w:shd w:val="clear" w:color="auto" w:fill="auto"/>
            <w:vAlign w:val="center"/>
            <w:hideMark/>
          </w:tcPr>
          <w:p w14:paraId="322159ED" w14:textId="77777777" w:rsidR="00DA0159" w:rsidRPr="00AB1C80" w:rsidRDefault="00DA0159" w:rsidP="00AB1C80">
            <w:pPr>
              <w:spacing w:line="276" w:lineRule="auto"/>
              <w:rPr>
                <w:rFonts w:eastAsia="Times New Roman" w:cs="Arial"/>
                <w:sz w:val="20"/>
                <w:szCs w:val="20"/>
                <w:lang w:eastAsia="es-CO"/>
              </w:rPr>
            </w:pPr>
            <w:r w:rsidRPr="003D5CFC">
              <w:rPr>
                <w:rFonts w:eastAsia="Times New Roman" w:cs="Arial"/>
                <w:sz w:val="20"/>
                <w:szCs w:val="20"/>
                <w:lang w:eastAsia="es-CO"/>
              </w:rPr>
              <w:t xml:space="preserve">International Finance Corporation – IFC, junto con el Grupo del Banco Mundial, presta asesoría a diversos países con apoyo financiero para el cumplimiento de los objetivos de Desarrollo Sostenible DS; de ahí que IFC es líder en finanzas verdes y puede en este caso brindar asesoramiento sobre la circularidad de los plásticos y el cambio climático, cadenas de suministro de residuos, reducción de la huella de carbono. </w:t>
            </w:r>
          </w:p>
          <w:p w14:paraId="07C59D48" w14:textId="77777777" w:rsidR="00DA0159" w:rsidRPr="00AB1C80" w:rsidRDefault="00DA0159" w:rsidP="00AB1C80">
            <w:pPr>
              <w:spacing w:line="276" w:lineRule="auto"/>
              <w:rPr>
                <w:rFonts w:eastAsia="Times New Roman" w:cs="Arial"/>
                <w:sz w:val="20"/>
                <w:szCs w:val="20"/>
                <w:lang w:eastAsia="es-CO"/>
              </w:rPr>
            </w:pPr>
            <w:r w:rsidRPr="003D5CFC">
              <w:rPr>
                <w:rFonts w:eastAsia="Times New Roman" w:cs="Arial"/>
                <w:sz w:val="20"/>
                <w:szCs w:val="20"/>
                <w:lang w:eastAsia="es-CO"/>
              </w:rPr>
              <w:br/>
              <w:t>IFC ha contratado a Anthesis Lavola, una empresa de consultoría, para analizar las oportunidades de mercado para el reciclaje de plásticos en Colombia. Todos los hallazgos y recomendaciones de este análisis son las opiniones de Anthesis Lavola, que no han sido verificadas por la CFI.</w:t>
            </w:r>
          </w:p>
          <w:p w14:paraId="23CCEBF5" w14:textId="44839A5C" w:rsidR="00DA0159" w:rsidRPr="003D5CFC" w:rsidRDefault="00DA0159" w:rsidP="00AB1C80">
            <w:pPr>
              <w:spacing w:line="276" w:lineRule="auto"/>
              <w:rPr>
                <w:rFonts w:eastAsia="Times New Roman" w:cs="Arial"/>
                <w:sz w:val="20"/>
                <w:szCs w:val="20"/>
                <w:lang w:eastAsia="es-CO"/>
              </w:rPr>
            </w:pPr>
            <w:r w:rsidRPr="003D5CFC">
              <w:rPr>
                <w:rFonts w:eastAsia="Times New Roman" w:cs="Arial"/>
                <w:sz w:val="20"/>
                <w:szCs w:val="20"/>
                <w:lang w:eastAsia="es-CO"/>
              </w:rPr>
              <w:br/>
              <w:t>Este estudio, basado en información directa o primaria, da una visión general del mercado y del estado actual de los plásticos en Colombia y determina las oportunidades del mercado y de infraestructura requerida para el cumplimiento de los objetivos del país sobre los productos reciclables, identificando las potenciales inversiones y los posibles casos de negocio, para lo cual recomienda algunos casos comerciales, logrando así analizar gran parte del encadenamiento productivo.</w:t>
            </w:r>
          </w:p>
        </w:tc>
      </w:tr>
    </w:tbl>
    <w:p w14:paraId="0F573403" w14:textId="77777777" w:rsidR="00EC1D7A" w:rsidRPr="00AB1C80" w:rsidRDefault="00EC1D7A" w:rsidP="00AB1C80">
      <w:pPr>
        <w:pStyle w:val="Fuente"/>
        <w:spacing w:line="276" w:lineRule="auto"/>
        <w:rPr>
          <w:rFonts w:cs="Arial"/>
          <w:lang w:val="es-CO"/>
        </w:rPr>
      </w:pPr>
      <w:r w:rsidRPr="00AB1C80">
        <w:rPr>
          <w:rFonts w:cs="Arial"/>
          <w:lang w:val="es-CO"/>
        </w:rPr>
        <w:t>Fuente: ATG Ltda., 2021.</w:t>
      </w:r>
    </w:p>
    <w:p w14:paraId="1F73076C" w14:textId="77777777" w:rsidR="00EC1D7A" w:rsidRPr="00AB1C80" w:rsidRDefault="00EC1D7A" w:rsidP="00AB1C80">
      <w:pPr>
        <w:pStyle w:val="Descripcin"/>
        <w:spacing w:line="276" w:lineRule="auto"/>
        <w:rPr>
          <w:rFonts w:cs="Arial"/>
          <w:lang w:val="es-CO"/>
        </w:rPr>
      </w:pPr>
    </w:p>
    <w:p w14:paraId="1AF073C8" w14:textId="452B5215" w:rsidR="00EC1D7A" w:rsidRPr="00AB1C80" w:rsidRDefault="00EC1D7A" w:rsidP="00AB1C80">
      <w:pPr>
        <w:pStyle w:val="Descripcin"/>
        <w:spacing w:line="276" w:lineRule="auto"/>
        <w:rPr>
          <w:rFonts w:cs="Arial"/>
          <w:lang w:val="es-CO"/>
        </w:rPr>
      </w:pPr>
      <w:bookmarkStart w:id="92" w:name="_Ref86256770"/>
      <w:bookmarkStart w:id="93" w:name="_Toc86333025"/>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20</w:t>
      </w:r>
      <w:r w:rsidRPr="00AB1C80">
        <w:rPr>
          <w:rFonts w:cs="Arial"/>
          <w:lang w:val="es-CO"/>
        </w:rPr>
        <w:fldChar w:fldCharType="end"/>
      </w:r>
      <w:bookmarkEnd w:id="92"/>
      <w:r w:rsidRPr="00AB1C80">
        <w:rPr>
          <w:rFonts w:cs="Arial"/>
          <w:lang w:val="es-CO"/>
        </w:rPr>
        <w:t xml:space="preserve">. Revisión de información nacional por </w:t>
      </w:r>
      <w:r w:rsidR="00F02581" w:rsidRPr="00AB1C80">
        <w:rPr>
          <w:rFonts w:cs="Arial"/>
          <w:lang w:val="es-CO"/>
        </w:rPr>
        <w:t>documentos oficiales</w:t>
      </w:r>
      <w:r w:rsidRPr="00AB1C80">
        <w:rPr>
          <w:rFonts w:cs="Arial"/>
          <w:lang w:val="es-CO"/>
        </w:rPr>
        <w:t xml:space="preserve"> para </w:t>
      </w:r>
      <w:r w:rsidR="00443CDB" w:rsidRPr="00AB1C80">
        <w:rPr>
          <w:rFonts w:cs="Arial"/>
          <w:lang w:val="es-CO"/>
        </w:rPr>
        <w:t>economía circular</w:t>
      </w:r>
      <w:r w:rsidRPr="00AB1C80">
        <w:rPr>
          <w:rFonts w:cs="Arial"/>
          <w:lang w:val="es-CO"/>
        </w:rPr>
        <w:t>.</w:t>
      </w:r>
      <w:bookmarkEnd w:id="93"/>
    </w:p>
    <w:tbl>
      <w:tblPr>
        <w:tblW w:w="14175" w:type="dxa"/>
        <w:tblInd w:w="-572" w:type="dxa"/>
        <w:tblCellMar>
          <w:left w:w="70" w:type="dxa"/>
          <w:right w:w="70" w:type="dxa"/>
        </w:tblCellMar>
        <w:tblLook w:val="04A0" w:firstRow="1" w:lastRow="0" w:firstColumn="1" w:lastColumn="0" w:noHBand="0" w:noVBand="1"/>
      </w:tblPr>
      <w:tblGrid>
        <w:gridCol w:w="2552"/>
        <w:gridCol w:w="1701"/>
        <w:gridCol w:w="1276"/>
        <w:gridCol w:w="8646"/>
      </w:tblGrid>
      <w:tr w:rsidR="00DA0159" w:rsidRPr="00AB1C80" w14:paraId="5CD6EA23" w14:textId="77777777" w:rsidTr="00DA0159">
        <w:trPr>
          <w:trHeight w:val="20"/>
          <w:tblHeader/>
        </w:trPr>
        <w:tc>
          <w:tcPr>
            <w:tcW w:w="2552"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4BA1EBC7" w14:textId="77777777" w:rsidR="00DA0159" w:rsidRPr="00DA0159" w:rsidRDefault="00DA0159" w:rsidP="00AB1C80">
            <w:pPr>
              <w:spacing w:line="276" w:lineRule="auto"/>
              <w:jc w:val="center"/>
              <w:rPr>
                <w:rFonts w:eastAsia="Times New Roman" w:cs="Arial"/>
                <w:b/>
                <w:bCs/>
                <w:color w:val="FFFFFF"/>
                <w:sz w:val="20"/>
                <w:szCs w:val="20"/>
                <w:lang w:eastAsia="es-CO"/>
              </w:rPr>
            </w:pPr>
            <w:r w:rsidRPr="00DA0159">
              <w:rPr>
                <w:rFonts w:eastAsia="Times New Roman" w:cs="Arial"/>
                <w:b/>
                <w:bCs/>
                <w:color w:val="FFFFFF"/>
                <w:sz w:val="20"/>
                <w:szCs w:val="20"/>
                <w:lang w:eastAsia="es-CO"/>
              </w:rPr>
              <w:t>Nombre del Documento</w:t>
            </w:r>
          </w:p>
        </w:tc>
        <w:tc>
          <w:tcPr>
            <w:tcW w:w="1701" w:type="dxa"/>
            <w:tcBorders>
              <w:top w:val="single" w:sz="4" w:space="0" w:color="auto"/>
              <w:left w:val="nil"/>
              <w:bottom w:val="single" w:sz="4" w:space="0" w:color="auto"/>
              <w:right w:val="single" w:sz="4" w:space="0" w:color="auto"/>
            </w:tcBorders>
            <w:shd w:val="clear" w:color="1E345C" w:fill="1E345C"/>
            <w:vAlign w:val="center"/>
            <w:hideMark/>
          </w:tcPr>
          <w:p w14:paraId="1DDF07C3" w14:textId="77777777" w:rsidR="00DA0159" w:rsidRPr="00DA0159" w:rsidRDefault="00DA0159" w:rsidP="00AB1C80">
            <w:pPr>
              <w:spacing w:line="276" w:lineRule="auto"/>
              <w:jc w:val="center"/>
              <w:rPr>
                <w:rFonts w:eastAsia="Times New Roman" w:cs="Arial"/>
                <w:b/>
                <w:bCs/>
                <w:color w:val="FFFFFF"/>
                <w:sz w:val="20"/>
                <w:szCs w:val="20"/>
                <w:lang w:eastAsia="es-CO"/>
              </w:rPr>
            </w:pPr>
            <w:r w:rsidRPr="00DA0159">
              <w:rPr>
                <w:rFonts w:eastAsia="Times New Roman" w:cs="Arial"/>
                <w:b/>
                <w:bCs/>
                <w:color w:val="FFFFFF"/>
                <w:sz w:val="20"/>
                <w:szCs w:val="20"/>
                <w:lang w:eastAsia="es-CO"/>
              </w:rPr>
              <w:t>Autor(es)</w:t>
            </w:r>
          </w:p>
        </w:tc>
        <w:tc>
          <w:tcPr>
            <w:tcW w:w="1276" w:type="dxa"/>
            <w:tcBorders>
              <w:top w:val="single" w:sz="4" w:space="0" w:color="auto"/>
              <w:left w:val="nil"/>
              <w:bottom w:val="single" w:sz="4" w:space="0" w:color="auto"/>
              <w:right w:val="single" w:sz="4" w:space="0" w:color="auto"/>
            </w:tcBorders>
            <w:shd w:val="clear" w:color="1E345C" w:fill="1E345C"/>
            <w:vAlign w:val="center"/>
            <w:hideMark/>
          </w:tcPr>
          <w:p w14:paraId="10398ED9" w14:textId="77777777" w:rsidR="00DA0159" w:rsidRPr="00DA0159" w:rsidRDefault="00DA0159" w:rsidP="00AB1C80">
            <w:pPr>
              <w:spacing w:line="276" w:lineRule="auto"/>
              <w:jc w:val="center"/>
              <w:rPr>
                <w:rFonts w:eastAsia="Times New Roman" w:cs="Arial"/>
                <w:b/>
                <w:bCs/>
                <w:color w:val="FFFFFF"/>
                <w:sz w:val="20"/>
                <w:szCs w:val="20"/>
                <w:lang w:eastAsia="es-CO"/>
              </w:rPr>
            </w:pPr>
            <w:r w:rsidRPr="00DA0159">
              <w:rPr>
                <w:rFonts w:eastAsia="Times New Roman" w:cs="Arial"/>
                <w:b/>
                <w:bCs/>
                <w:color w:val="FFFFFF"/>
                <w:sz w:val="20"/>
                <w:szCs w:val="20"/>
                <w:lang w:eastAsia="es-CO"/>
              </w:rPr>
              <w:t>Año de Publicación</w:t>
            </w:r>
          </w:p>
        </w:tc>
        <w:tc>
          <w:tcPr>
            <w:tcW w:w="8646" w:type="dxa"/>
            <w:tcBorders>
              <w:top w:val="single" w:sz="4" w:space="0" w:color="auto"/>
              <w:left w:val="nil"/>
              <w:bottom w:val="single" w:sz="4" w:space="0" w:color="auto"/>
              <w:right w:val="single" w:sz="4" w:space="0" w:color="auto"/>
            </w:tcBorders>
            <w:shd w:val="clear" w:color="1E345C" w:fill="1E345C"/>
            <w:vAlign w:val="center"/>
            <w:hideMark/>
          </w:tcPr>
          <w:p w14:paraId="0B29C77E" w14:textId="77777777" w:rsidR="00DA0159" w:rsidRPr="00DA0159" w:rsidRDefault="00DA0159" w:rsidP="00AB1C80">
            <w:pPr>
              <w:spacing w:line="276" w:lineRule="auto"/>
              <w:jc w:val="center"/>
              <w:rPr>
                <w:rFonts w:eastAsia="Times New Roman" w:cs="Arial"/>
                <w:b/>
                <w:bCs/>
                <w:color w:val="FFFFFF"/>
                <w:sz w:val="20"/>
                <w:szCs w:val="20"/>
                <w:lang w:eastAsia="es-CO"/>
              </w:rPr>
            </w:pPr>
            <w:r w:rsidRPr="00DA0159">
              <w:rPr>
                <w:rFonts w:eastAsia="Times New Roman" w:cs="Arial"/>
                <w:b/>
                <w:bCs/>
                <w:color w:val="FFFFFF"/>
                <w:sz w:val="20"/>
                <w:szCs w:val="20"/>
                <w:lang w:eastAsia="es-CO"/>
              </w:rPr>
              <w:t>Análisis, critica e interpretación</w:t>
            </w:r>
          </w:p>
        </w:tc>
      </w:tr>
      <w:tr w:rsidR="00DA0159" w:rsidRPr="00AB1C80" w14:paraId="1D330FE8" w14:textId="77777777" w:rsidTr="00DA0159">
        <w:trPr>
          <w:trHeight w:val="2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3BE137DA" w14:textId="77777777" w:rsidR="00DA0159" w:rsidRPr="00DA0159" w:rsidRDefault="00DA0159" w:rsidP="00AB1C80">
            <w:pPr>
              <w:spacing w:line="276" w:lineRule="auto"/>
              <w:jc w:val="center"/>
              <w:rPr>
                <w:rFonts w:eastAsia="Times New Roman" w:cs="Arial"/>
                <w:color w:val="000000"/>
                <w:sz w:val="20"/>
                <w:szCs w:val="20"/>
                <w:lang w:eastAsia="es-CO"/>
              </w:rPr>
            </w:pPr>
            <w:r w:rsidRPr="00DA0159">
              <w:rPr>
                <w:rFonts w:eastAsia="Times New Roman" w:cs="Arial"/>
                <w:color w:val="000000"/>
                <w:sz w:val="20"/>
                <w:szCs w:val="20"/>
                <w:lang w:eastAsia="es-CO"/>
              </w:rPr>
              <w:t>Informe Economía Circular Sector Minero Colombiano</w:t>
            </w:r>
          </w:p>
        </w:tc>
        <w:tc>
          <w:tcPr>
            <w:tcW w:w="1701" w:type="dxa"/>
            <w:tcBorders>
              <w:top w:val="nil"/>
              <w:left w:val="nil"/>
              <w:bottom w:val="single" w:sz="4" w:space="0" w:color="auto"/>
              <w:right w:val="single" w:sz="4" w:space="0" w:color="auto"/>
            </w:tcBorders>
            <w:shd w:val="clear" w:color="auto" w:fill="auto"/>
            <w:vAlign w:val="center"/>
            <w:hideMark/>
          </w:tcPr>
          <w:p w14:paraId="4A2878B1" w14:textId="77777777" w:rsidR="00DA0159" w:rsidRPr="00DA0159" w:rsidRDefault="00DA0159" w:rsidP="00AB1C80">
            <w:pPr>
              <w:spacing w:line="276" w:lineRule="auto"/>
              <w:jc w:val="center"/>
              <w:rPr>
                <w:rFonts w:eastAsia="Times New Roman" w:cs="Arial"/>
                <w:color w:val="000000"/>
                <w:sz w:val="20"/>
                <w:szCs w:val="20"/>
                <w:lang w:eastAsia="es-CO"/>
              </w:rPr>
            </w:pPr>
            <w:r w:rsidRPr="00DA0159">
              <w:rPr>
                <w:rFonts w:eastAsia="Times New Roman" w:cs="Arial"/>
                <w:color w:val="000000"/>
                <w:sz w:val="20"/>
                <w:szCs w:val="20"/>
                <w:lang w:eastAsia="es-CO"/>
              </w:rPr>
              <w:t>Plinio Enrique Bustamante Ortega</w:t>
            </w:r>
            <w:r w:rsidRPr="00DA0159">
              <w:rPr>
                <w:rFonts w:eastAsia="Times New Roman" w:cs="Arial"/>
                <w:color w:val="000000"/>
                <w:sz w:val="20"/>
                <w:szCs w:val="20"/>
                <w:lang w:eastAsia="es-CO"/>
              </w:rPr>
              <w:br/>
              <w:t>Oswald Maya Sánchez</w:t>
            </w:r>
            <w:r w:rsidRPr="00DA0159">
              <w:rPr>
                <w:rFonts w:eastAsia="Times New Roman" w:cs="Arial"/>
                <w:color w:val="000000"/>
                <w:sz w:val="20"/>
                <w:szCs w:val="20"/>
                <w:lang w:eastAsia="es-CO"/>
              </w:rPr>
              <w:br/>
              <w:t>Tamara Romero Restrepo</w:t>
            </w:r>
          </w:p>
        </w:tc>
        <w:tc>
          <w:tcPr>
            <w:tcW w:w="1276" w:type="dxa"/>
            <w:tcBorders>
              <w:top w:val="nil"/>
              <w:left w:val="nil"/>
              <w:bottom w:val="single" w:sz="4" w:space="0" w:color="auto"/>
              <w:right w:val="single" w:sz="4" w:space="0" w:color="auto"/>
            </w:tcBorders>
            <w:shd w:val="clear" w:color="auto" w:fill="auto"/>
            <w:noWrap/>
            <w:vAlign w:val="center"/>
            <w:hideMark/>
          </w:tcPr>
          <w:p w14:paraId="0DAAF79E" w14:textId="77777777" w:rsidR="00DA0159" w:rsidRPr="00DA0159" w:rsidRDefault="00DA0159" w:rsidP="00AB1C80">
            <w:pPr>
              <w:spacing w:line="276" w:lineRule="auto"/>
              <w:jc w:val="center"/>
              <w:rPr>
                <w:rFonts w:eastAsia="Times New Roman" w:cs="Arial"/>
                <w:color w:val="000000"/>
                <w:sz w:val="20"/>
                <w:szCs w:val="20"/>
                <w:lang w:eastAsia="es-CO"/>
              </w:rPr>
            </w:pPr>
            <w:r w:rsidRPr="00DA0159">
              <w:rPr>
                <w:rFonts w:eastAsia="Times New Roman" w:cs="Arial"/>
                <w:color w:val="000000"/>
                <w:sz w:val="20"/>
                <w:szCs w:val="20"/>
                <w:lang w:eastAsia="es-CO"/>
              </w:rPr>
              <w:t>2021</w:t>
            </w:r>
          </w:p>
        </w:tc>
        <w:tc>
          <w:tcPr>
            <w:tcW w:w="8646" w:type="dxa"/>
            <w:tcBorders>
              <w:top w:val="nil"/>
              <w:left w:val="nil"/>
              <w:bottom w:val="single" w:sz="4" w:space="0" w:color="auto"/>
              <w:right w:val="single" w:sz="4" w:space="0" w:color="auto"/>
            </w:tcBorders>
            <w:shd w:val="clear" w:color="auto" w:fill="auto"/>
            <w:vAlign w:val="center"/>
            <w:hideMark/>
          </w:tcPr>
          <w:p w14:paraId="72EA2FA7" w14:textId="77777777" w:rsidR="00DA0159" w:rsidRPr="00DA0159" w:rsidRDefault="00DA0159" w:rsidP="00533937">
            <w:pPr>
              <w:spacing w:line="276" w:lineRule="auto"/>
              <w:rPr>
                <w:rFonts w:eastAsia="Times New Roman" w:cs="Arial"/>
                <w:sz w:val="20"/>
                <w:szCs w:val="20"/>
                <w:lang w:eastAsia="es-CO"/>
              </w:rPr>
            </w:pPr>
            <w:r w:rsidRPr="00DA0159">
              <w:rPr>
                <w:rFonts w:eastAsia="Times New Roman" w:cs="Arial"/>
                <w:sz w:val="20"/>
                <w:szCs w:val="20"/>
                <w:lang w:eastAsia="es-CO"/>
              </w:rPr>
              <w:t xml:space="preserve">Este estudio nace de la necesidad de indagar el estado actual de la economía circular en el sector minero en Colombia, enfocado a revisar su implementación, planes, alternativas y beneficios para esta economía, debido a que gracias a la optimización y rendimientos en los ciclos de producción se puede innovar en nuevos productos y expandirse hacia nuevos mercados. </w:t>
            </w:r>
            <w:r w:rsidRPr="00DA0159">
              <w:rPr>
                <w:rFonts w:eastAsia="Times New Roman" w:cs="Arial"/>
                <w:sz w:val="20"/>
                <w:szCs w:val="20"/>
                <w:lang w:eastAsia="es-CO"/>
              </w:rPr>
              <w:br/>
            </w:r>
            <w:r w:rsidRPr="00DA0159">
              <w:rPr>
                <w:rFonts w:eastAsia="Times New Roman" w:cs="Arial"/>
                <w:sz w:val="20"/>
                <w:szCs w:val="20"/>
                <w:lang w:eastAsia="es-CO"/>
              </w:rPr>
              <w:br/>
              <w:t xml:space="preserve">El presente estudio permitirá analizar y establecer las opciones de implementación de la </w:t>
            </w:r>
            <w:r w:rsidRPr="00DA0159">
              <w:rPr>
                <w:rFonts w:eastAsia="Times New Roman" w:cs="Arial"/>
                <w:sz w:val="20"/>
                <w:szCs w:val="20"/>
                <w:lang w:eastAsia="es-CO"/>
              </w:rPr>
              <w:lastRenderedPageBreak/>
              <w:t>Economía Circular en el sector minero en Colombia, generando propuestas aplicables, tanto en materia normativa, investigativa, técnica y económica, que permitan desarrollar unos lineamientos claros, para su implementación y puesta en marcha.</w:t>
            </w:r>
            <w:r w:rsidRPr="00DA0159">
              <w:rPr>
                <w:rFonts w:eastAsia="Times New Roman" w:cs="Arial"/>
                <w:sz w:val="20"/>
                <w:szCs w:val="20"/>
                <w:lang w:eastAsia="es-CO"/>
              </w:rPr>
              <w:br/>
            </w:r>
            <w:r w:rsidRPr="00DA0159">
              <w:rPr>
                <w:rFonts w:eastAsia="Times New Roman" w:cs="Arial"/>
                <w:sz w:val="20"/>
                <w:szCs w:val="20"/>
                <w:lang w:eastAsia="es-CO"/>
              </w:rPr>
              <w:br/>
              <w:t>Se busca entonces comprender en primer lugar los fundamentos y principios en los cuales se han basado aquellos sectores de la economía que han realizado iniciativas exitosas en la aplicación de esta nueva modalidad de negocio, revisar los avances que han tenido otros países en este aspecto, la manera como se ha vinculado la industria y cuál ha sido el apoyo gubernamental. Además, se pretende analizar los modelos de negocio que se han tejido alrededor y su papel en la economía circular internacional y nacional.</w:t>
            </w:r>
          </w:p>
        </w:tc>
      </w:tr>
    </w:tbl>
    <w:p w14:paraId="15968651" w14:textId="77777777" w:rsidR="00EC1D7A" w:rsidRPr="00AB1C80" w:rsidRDefault="00EC1D7A" w:rsidP="00AB1C80">
      <w:pPr>
        <w:pStyle w:val="Fuente"/>
        <w:spacing w:line="276" w:lineRule="auto"/>
        <w:rPr>
          <w:rFonts w:cs="Arial"/>
          <w:lang w:val="es-CO"/>
        </w:rPr>
      </w:pPr>
      <w:r w:rsidRPr="00AB1C80">
        <w:rPr>
          <w:rFonts w:cs="Arial"/>
          <w:lang w:val="es-CO"/>
        </w:rPr>
        <w:lastRenderedPageBreak/>
        <w:t>Fuente: ATG Ltda., 2021.</w:t>
      </w:r>
    </w:p>
    <w:p w14:paraId="4AAB8FEA" w14:textId="77777777" w:rsidR="00EC1D7A" w:rsidRPr="00AB1C80" w:rsidRDefault="00EC1D7A" w:rsidP="00AB1C80">
      <w:pPr>
        <w:pStyle w:val="Descripcin"/>
        <w:spacing w:line="276" w:lineRule="auto"/>
        <w:rPr>
          <w:rFonts w:cs="Arial"/>
          <w:lang w:val="es-CO"/>
        </w:rPr>
      </w:pPr>
    </w:p>
    <w:p w14:paraId="32BCF094" w14:textId="1D8EC030" w:rsidR="00EC1D7A" w:rsidRPr="00AB1C80" w:rsidRDefault="00EC1D7A" w:rsidP="00AB1C80">
      <w:pPr>
        <w:pStyle w:val="Descripcin"/>
        <w:spacing w:line="276" w:lineRule="auto"/>
        <w:rPr>
          <w:rFonts w:cs="Arial"/>
          <w:lang w:val="es-CO"/>
        </w:rPr>
      </w:pPr>
      <w:bookmarkStart w:id="94" w:name="_Ref86256772"/>
      <w:bookmarkStart w:id="95" w:name="_Toc86333026"/>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21</w:t>
      </w:r>
      <w:r w:rsidRPr="00AB1C80">
        <w:rPr>
          <w:rFonts w:cs="Arial"/>
          <w:lang w:val="es-CO"/>
        </w:rPr>
        <w:fldChar w:fldCharType="end"/>
      </w:r>
      <w:bookmarkEnd w:id="94"/>
      <w:r w:rsidRPr="00AB1C80">
        <w:rPr>
          <w:rFonts w:cs="Arial"/>
          <w:lang w:val="es-CO"/>
        </w:rPr>
        <w:t xml:space="preserve">. Revisión de información nacional por </w:t>
      </w:r>
      <w:r w:rsidR="00F02581" w:rsidRPr="00AB1C80">
        <w:rPr>
          <w:rFonts w:cs="Arial"/>
          <w:lang w:val="es-CO"/>
        </w:rPr>
        <w:t>guías técnicas</w:t>
      </w:r>
      <w:r w:rsidRPr="00AB1C80">
        <w:rPr>
          <w:rFonts w:cs="Arial"/>
          <w:lang w:val="es-CO"/>
        </w:rPr>
        <w:t xml:space="preserve"> para </w:t>
      </w:r>
      <w:r w:rsidR="00443CDB" w:rsidRPr="00AB1C80">
        <w:rPr>
          <w:rFonts w:cs="Arial"/>
          <w:lang w:val="es-CO"/>
        </w:rPr>
        <w:t>economía circular</w:t>
      </w:r>
      <w:r w:rsidRPr="00AB1C80">
        <w:rPr>
          <w:rFonts w:cs="Arial"/>
          <w:lang w:val="es-CO"/>
        </w:rPr>
        <w:t>.</w:t>
      </w:r>
      <w:bookmarkEnd w:id="95"/>
    </w:p>
    <w:tbl>
      <w:tblPr>
        <w:tblW w:w="14175" w:type="dxa"/>
        <w:tblInd w:w="-572" w:type="dxa"/>
        <w:tblCellMar>
          <w:left w:w="70" w:type="dxa"/>
          <w:right w:w="70" w:type="dxa"/>
        </w:tblCellMar>
        <w:tblLook w:val="04A0" w:firstRow="1" w:lastRow="0" w:firstColumn="1" w:lastColumn="0" w:noHBand="0" w:noVBand="1"/>
      </w:tblPr>
      <w:tblGrid>
        <w:gridCol w:w="2552"/>
        <w:gridCol w:w="1696"/>
        <w:gridCol w:w="1319"/>
        <w:gridCol w:w="8608"/>
      </w:tblGrid>
      <w:tr w:rsidR="00A1418F" w:rsidRPr="00AB1C80" w14:paraId="3ADF92FF" w14:textId="77777777" w:rsidTr="00A1418F">
        <w:trPr>
          <w:trHeight w:val="20"/>
          <w:tblHeader/>
        </w:trPr>
        <w:tc>
          <w:tcPr>
            <w:tcW w:w="2552"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59647993" w14:textId="77777777" w:rsidR="00A1418F" w:rsidRPr="00A1418F" w:rsidRDefault="00A1418F" w:rsidP="00AB1C80">
            <w:pPr>
              <w:spacing w:line="276" w:lineRule="auto"/>
              <w:jc w:val="center"/>
              <w:rPr>
                <w:rFonts w:eastAsia="Times New Roman" w:cs="Arial"/>
                <w:b/>
                <w:bCs/>
                <w:color w:val="FFFFFF"/>
                <w:sz w:val="20"/>
                <w:szCs w:val="20"/>
                <w:lang w:eastAsia="es-CO"/>
              </w:rPr>
            </w:pPr>
            <w:r w:rsidRPr="00A1418F">
              <w:rPr>
                <w:rFonts w:eastAsia="Times New Roman" w:cs="Arial"/>
                <w:b/>
                <w:bCs/>
                <w:color w:val="FFFFFF"/>
                <w:sz w:val="20"/>
                <w:szCs w:val="20"/>
                <w:lang w:eastAsia="es-CO"/>
              </w:rPr>
              <w:t>Nombre del Documento</w:t>
            </w:r>
          </w:p>
        </w:tc>
        <w:tc>
          <w:tcPr>
            <w:tcW w:w="1696" w:type="dxa"/>
            <w:tcBorders>
              <w:top w:val="single" w:sz="4" w:space="0" w:color="auto"/>
              <w:left w:val="nil"/>
              <w:bottom w:val="single" w:sz="4" w:space="0" w:color="auto"/>
              <w:right w:val="single" w:sz="4" w:space="0" w:color="auto"/>
            </w:tcBorders>
            <w:shd w:val="clear" w:color="1E345C" w:fill="1E345C"/>
            <w:vAlign w:val="center"/>
            <w:hideMark/>
          </w:tcPr>
          <w:p w14:paraId="7E98D94F" w14:textId="77777777" w:rsidR="00A1418F" w:rsidRPr="00A1418F" w:rsidRDefault="00A1418F" w:rsidP="00AB1C80">
            <w:pPr>
              <w:spacing w:line="276" w:lineRule="auto"/>
              <w:jc w:val="center"/>
              <w:rPr>
                <w:rFonts w:eastAsia="Times New Roman" w:cs="Arial"/>
                <w:b/>
                <w:bCs/>
                <w:color w:val="FFFFFF"/>
                <w:sz w:val="20"/>
                <w:szCs w:val="20"/>
                <w:lang w:eastAsia="es-CO"/>
              </w:rPr>
            </w:pPr>
            <w:r w:rsidRPr="00A1418F">
              <w:rPr>
                <w:rFonts w:eastAsia="Times New Roman" w:cs="Arial"/>
                <w:b/>
                <w:bCs/>
                <w:color w:val="FFFFFF"/>
                <w:sz w:val="20"/>
                <w:szCs w:val="20"/>
                <w:lang w:eastAsia="es-CO"/>
              </w:rPr>
              <w:t>Autor(es)</w:t>
            </w:r>
          </w:p>
        </w:tc>
        <w:tc>
          <w:tcPr>
            <w:tcW w:w="1319" w:type="dxa"/>
            <w:tcBorders>
              <w:top w:val="single" w:sz="4" w:space="0" w:color="auto"/>
              <w:left w:val="nil"/>
              <w:bottom w:val="single" w:sz="4" w:space="0" w:color="auto"/>
              <w:right w:val="single" w:sz="4" w:space="0" w:color="auto"/>
            </w:tcBorders>
            <w:shd w:val="clear" w:color="1E345C" w:fill="1E345C"/>
            <w:vAlign w:val="center"/>
            <w:hideMark/>
          </w:tcPr>
          <w:p w14:paraId="48D5B4E5" w14:textId="77777777" w:rsidR="00A1418F" w:rsidRPr="00A1418F" w:rsidRDefault="00A1418F" w:rsidP="00AB1C80">
            <w:pPr>
              <w:spacing w:line="276" w:lineRule="auto"/>
              <w:jc w:val="center"/>
              <w:rPr>
                <w:rFonts w:eastAsia="Times New Roman" w:cs="Arial"/>
                <w:b/>
                <w:bCs/>
                <w:color w:val="FFFFFF"/>
                <w:sz w:val="20"/>
                <w:szCs w:val="20"/>
                <w:lang w:eastAsia="es-CO"/>
              </w:rPr>
            </w:pPr>
            <w:r w:rsidRPr="00A1418F">
              <w:rPr>
                <w:rFonts w:eastAsia="Times New Roman" w:cs="Arial"/>
                <w:b/>
                <w:bCs/>
                <w:color w:val="FFFFFF"/>
                <w:sz w:val="20"/>
                <w:szCs w:val="20"/>
                <w:lang w:eastAsia="es-CO"/>
              </w:rPr>
              <w:t>Año de Publicación</w:t>
            </w:r>
          </w:p>
        </w:tc>
        <w:tc>
          <w:tcPr>
            <w:tcW w:w="8608" w:type="dxa"/>
            <w:tcBorders>
              <w:top w:val="single" w:sz="4" w:space="0" w:color="auto"/>
              <w:left w:val="nil"/>
              <w:bottom w:val="single" w:sz="4" w:space="0" w:color="auto"/>
              <w:right w:val="single" w:sz="4" w:space="0" w:color="auto"/>
            </w:tcBorders>
            <w:shd w:val="clear" w:color="1E345C" w:fill="1E345C"/>
            <w:vAlign w:val="center"/>
            <w:hideMark/>
          </w:tcPr>
          <w:p w14:paraId="49897F25" w14:textId="77777777" w:rsidR="00A1418F" w:rsidRPr="00A1418F" w:rsidRDefault="00A1418F" w:rsidP="00AB1C80">
            <w:pPr>
              <w:spacing w:line="276" w:lineRule="auto"/>
              <w:jc w:val="center"/>
              <w:rPr>
                <w:rFonts w:eastAsia="Times New Roman" w:cs="Arial"/>
                <w:b/>
                <w:bCs/>
                <w:color w:val="FFFFFF"/>
                <w:sz w:val="20"/>
                <w:szCs w:val="20"/>
                <w:lang w:eastAsia="es-CO"/>
              </w:rPr>
            </w:pPr>
            <w:r w:rsidRPr="00A1418F">
              <w:rPr>
                <w:rFonts w:eastAsia="Times New Roman" w:cs="Arial"/>
                <w:b/>
                <w:bCs/>
                <w:color w:val="FFFFFF"/>
                <w:sz w:val="20"/>
                <w:szCs w:val="20"/>
                <w:lang w:eastAsia="es-CO"/>
              </w:rPr>
              <w:t>Análisis, critica e interpretación</w:t>
            </w:r>
          </w:p>
        </w:tc>
      </w:tr>
      <w:tr w:rsidR="00A1418F" w:rsidRPr="00AB1C80" w14:paraId="60715F48" w14:textId="77777777" w:rsidTr="00A1418F">
        <w:trPr>
          <w:trHeight w:val="2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2E171156"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Cartilla Economía Circular - Colombia Productiva</w:t>
            </w:r>
          </w:p>
        </w:tc>
        <w:tc>
          <w:tcPr>
            <w:tcW w:w="1696" w:type="dxa"/>
            <w:tcBorders>
              <w:top w:val="nil"/>
              <w:left w:val="nil"/>
              <w:bottom w:val="single" w:sz="4" w:space="0" w:color="auto"/>
              <w:right w:val="single" w:sz="4" w:space="0" w:color="auto"/>
            </w:tcBorders>
            <w:shd w:val="clear" w:color="auto" w:fill="auto"/>
            <w:vAlign w:val="center"/>
            <w:hideMark/>
          </w:tcPr>
          <w:p w14:paraId="4600DBC5"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Centro Nacional de Producción Más Limpia</w:t>
            </w:r>
          </w:p>
        </w:tc>
        <w:tc>
          <w:tcPr>
            <w:tcW w:w="1319" w:type="dxa"/>
            <w:tcBorders>
              <w:top w:val="nil"/>
              <w:left w:val="nil"/>
              <w:bottom w:val="single" w:sz="4" w:space="0" w:color="auto"/>
              <w:right w:val="single" w:sz="4" w:space="0" w:color="auto"/>
            </w:tcBorders>
            <w:shd w:val="clear" w:color="auto" w:fill="auto"/>
            <w:vAlign w:val="center"/>
            <w:hideMark/>
          </w:tcPr>
          <w:p w14:paraId="29FBF201"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w:t>
            </w:r>
          </w:p>
        </w:tc>
        <w:tc>
          <w:tcPr>
            <w:tcW w:w="8608" w:type="dxa"/>
            <w:tcBorders>
              <w:top w:val="nil"/>
              <w:left w:val="nil"/>
              <w:bottom w:val="single" w:sz="4" w:space="0" w:color="auto"/>
              <w:right w:val="single" w:sz="4" w:space="0" w:color="auto"/>
            </w:tcBorders>
            <w:shd w:val="clear" w:color="auto" w:fill="auto"/>
            <w:vAlign w:val="center"/>
            <w:hideMark/>
          </w:tcPr>
          <w:p w14:paraId="417FD73F" w14:textId="77777777" w:rsidR="00A1418F" w:rsidRPr="00A1418F" w:rsidRDefault="00A1418F" w:rsidP="00AB1C80">
            <w:pPr>
              <w:spacing w:line="276" w:lineRule="auto"/>
              <w:jc w:val="center"/>
              <w:rPr>
                <w:rFonts w:eastAsia="Times New Roman" w:cs="Arial"/>
                <w:sz w:val="20"/>
                <w:szCs w:val="20"/>
                <w:lang w:eastAsia="es-CO"/>
              </w:rPr>
            </w:pPr>
            <w:r w:rsidRPr="00A1418F">
              <w:rPr>
                <w:rFonts w:eastAsia="Times New Roman" w:cs="Arial"/>
                <w:sz w:val="20"/>
                <w:szCs w:val="20"/>
                <w:lang w:eastAsia="es-CO"/>
              </w:rPr>
              <w:t>1. Una empresa con el modelo de economía circular busca mitigar el impacto ambiental que pueda generar, optimizar costos, incrementar la rentabilidad y tener nuevos ingresos.</w:t>
            </w:r>
            <w:r w:rsidRPr="00A1418F">
              <w:rPr>
                <w:rFonts w:eastAsia="Times New Roman" w:cs="Arial"/>
                <w:sz w:val="20"/>
                <w:szCs w:val="20"/>
                <w:lang w:eastAsia="es-CO"/>
              </w:rPr>
              <w:br/>
            </w:r>
            <w:r w:rsidRPr="00A1418F">
              <w:rPr>
                <w:rFonts w:eastAsia="Times New Roman" w:cs="Arial"/>
                <w:sz w:val="20"/>
                <w:szCs w:val="20"/>
                <w:lang w:eastAsia="es-CO"/>
              </w:rPr>
              <w:br/>
              <w:t xml:space="preserve">2.  Los mandamientos de la economía circular buscan lo siguiente: </w:t>
            </w:r>
            <w:r w:rsidRPr="00A1418F">
              <w:rPr>
                <w:rFonts w:eastAsia="Times New Roman" w:cs="Arial"/>
                <w:sz w:val="20"/>
                <w:szCs w:val="20"/>
                <w:lang w:eastAsia="es-CO"/>
              </w:rPr>
              <w:br/>
              <w:t>a. Recircular: Donde se re fabrica productos, se recicla materiales y se promueve el compostaje</w:t>
            </w:r>
            <w:r w:rsidRPr="00A1418F">
              <w:rPr>
                <w:rFonts w:eastAsia="Times New Roman" w:cs="Arial"/>
                <w:sz w:val="20"/>
                <w:szCs w:val="20"/>
                <w:lang w:eastAsia="es-CO"/>
              </w:rPr>
              <w:br/>
              <w:t>b. Reutilizar: Promueve el uso de productos de segunda mano o se prolonga la vida útil del producto a través del mantenimiento</w:t>
            </w:r>
            <w:r w:rsidRPr="00A1418F">
              <w:rPr>
                <w:rFonts w:eastAsia="Times New Roman" w:cs="Arial"/>
                <w:sz w:val="20"/>
                <w:szCs w:val="20"/>
                <w:lang w:eastAsia="es-CO"/>
              </w:rPr>
              <w:br/>
              <w:t>c. Reducir: Optimiza el consumo de recursos y energía y eliminar el uso de sustancias toxicas</w:t>
            </w:r>
            <w:r w:rsidRPr="00A1418F">
              <w:rPr>
                <w:rFonts w:eastAsia="Times New Roman" w:cs="Arial"/>
                <w:sz w:val="20"/>
                <w:szCs w:val="20"/>
                <w:lang w:eastAsia="es-CO"/>
              </w:rPr>
              <w:br/>
              <w:t>d. Regenerar: Usar energía y materiales renovables, devolver los recursos orgánicos al suelo y recuperar los ecosistemas.</w:t>
            </w:r>
            <w:r w:rsidRPr="00A1418F">
              <w:rPr>
                <w:rFonts w:eastAsia="Times New Roman" w:cs="Arial"/>
                <w:sz w:val="20"/>
                <w:szCs w:val="20"/>
                <w:lang w:eastAsia="es-CO"/>
              </w:rPr>
              <w:br/>
              <w:t>e. Remplazar: Sustituir materiales obsoletos por otros de mejor desempeño y que tenga mayor durabilidad, aplicando nuevas tecnologías.</w:t>
            </w:r>
          </w:p>
        </w:tc>
      </w:tr>
      <w:tr w:rsidR="00A1418F" w:rsidRPr="00AB1C80" w14:paraId="6763AA22" w14:textId="77777777" w:rsidTr="00A1418F">
        <w:trPr>
          <w:trHeight w:val="2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8612D5C"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 xml:space="preserve">GTC 314 Marco para la Implementación de los </w:t>
            </w:r>
            <w:r w:rsidRPr="00A1418F">
              <w:rPr>
                <w:rFonts w:eastAsia="Times New Roman" w:cs="Arial"/>
                <w:color w:val="000000"/>
                <w:sz w:val="20"/>
                <w:szCs w:val="20"/>
                <w:lang w:eastAsia="es-CO"/>
              </w:rPr>
              <w:lastRenderedPageBreak/>
              <w:t>Principios de la Economía Circular en Las Organizaciones (BS 8001-2017)</w:t>
            </w:r>
          </w:p>
        </w:tc>
        <w:tc>
          <w:tcPr>
            <w:tcW w:w="1696" w:type="dxa"/>
            <w:tcBorders>
              <w:top w:val="nil"/>
              <w:left w:val="nil"/>
              <w:bottom w:val="single" w:sz="4" w:space="0" w:color="auto"/>
              <w:right w:val="single" w:sz="4" w:space="0" w:color="auto"/>
            </w:tcBorders>
            <w:shd w:val="clear" w:color="auto" w:fill="auto"/>
            <w:vAlign w:val="center"/>
            <w:hideMark/>
          </w:tcPr>
          <w:p w14:paraId="43162B51"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lastRenderedPageBreak/>
              <w:t>ICONTEC</w:t>
            </w:r>
          </w:p>
        </w:tc>
        <w:tc>
          <w:tcPr>
            <w:tcW w:w="1319" w:type="dxa"/>
            <w:tcBorders>
              <w:top w:val="nil"/>
              <w:left w:val="nil"/>
              <w:bottom w:val="single" w:sz="4" w:space="0" w:color="auto"/>
              <w:right w:val="single" w:sz="4" w:space="0" w:color="auto"/>
            </w:tcBorders>
            <w:shd w:val="clear" w:color="auto" w:fill="auto"/>
            <w:vAlign w:val="center"/>
            <w:hideMark/>
          </w:tcPr>
          <w:p w14:paraId="448896DF"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Actualización 2020</w:t>
            </w:r>
          </w:p>
        </w:tc>
        <w:tc>
          <w:tcPr>
            <w:tcW w:w="8608" w:type="dxa"/>
            <w:tcBorders>
              <w:top w:val="nil"/>
              <w:left w:val="nil"/>
              <w:bottom w:val="single" w:sz="4" w:space="0" w:color="auto"/>
              <w:right w:val="single" w:sz="4" w:space="0" w:color="auto"/>
            </w:tcBorders>
            <w:shd w:val="clear" w:color="auto" w:fill="auto"/>
            <w:vAlign w:val="center"/>
            <w:hideMark/>
          </w:tcPr>
          <w:p w14:paraId="4710B7B0" w14:textId="77777777" w:rsidR="00A1418F" w:rsidRPr="00A1418F" w:rsidRDefault="00A1418F" w:rsidP="00533937">
            <w:pPr>
              <w:spacing w:line="276" w:lineRule="auto"/>
              <w:rPr>
                <w:rFonts w:eastAsia="Times New Roman" w:cs="Arial"/>
                <w:sz w:val="20"/>
                <w:szCs w:val="20"/>
                <w:lang w:eastAsia="es-CO"/>
              </w:rPr>
            </w:pPr>
            <w:r w:rsidRPr="00A1418F">
              <w:rPr>
                <w:rFonts w:eastAsia="Times New Roman" w:cs="Arial"/>
                <w:sz w:val="20"/>
                <w:szCs w:val="20"/>
                <w:lang w:eastAsia="es-CO"/>
              </w:rPr>
              <w:t xml:space="preserve">Principalmente la guía técnica colombiana nos da una línea base para la toma de decisiones acerca de la implementación y ejecución del nuevo modelo de economía circular en las </w:t>
            </w:r>
            <w:r w:rsidRPr="00A1418F">
              <w:rPr>
                <w:rFonts w:eastAsia="Times New Roman" w:cs="Arial"/>
                <w:sz w:val="20"/>
                <w:szCs w:val="20"/>
                <w:lang w:eastAsia="es-CO"/>
              </w:rPr>
              <w:lastRenderedPageBreak/>
              <w:t xml:space="preserve">organizaciones, a partir de iniciativas desarrolladas, estrategias y/o directrices que nos llevan a orientar las mismas de todo tipo y tamaño, a nivel global los pasos que pueden emprender para pasar a un modo de operación más circular y sostenible. </w:t>
            </w:r>
            <w:r w:rsidRPr="00A1418F">
              <w:rPr>
                <w:rFonts w:eastAsia="Times New Roman" w:cs="Arial"/>
                <w:sz w:val="20"/>
                <w:szCs w:val="20"/>
                <w:lang w:eastAsia="es-CO"/>
              </w:rPr>
              <w:br/>
            </w:r>
            <w:r w:rsidRPr="00A1418F">
              <w:rPr>
                <w:rFonts w:eastAsia="Times New Roman" w:cs="Arial"/>
                <w:sz w:val="20"/>
                <w:szCs w:val="20"/>
                <w:lang w:eastAsia="es-CO"/>
              </w:rPr>
              <w:br/>
              <w:t>Igualmente, el objetivo principal de la GTC 314-2020 es proporcionar a las organizaciones una comprensión de, definir la economía circular y cómo podría ser relevante tanto ahora como en el futuro implementarla; así mismo cómo aplicar los principios de la economía circular para crear valor directo e indirecto como resultado de la innovación en los procesos, productos o servicios o en los modelos de negocio.</w:t>
            </w:r>
            <w:r w:rsidRPr="00A1418F">
              <w:rPr>
                <w:rFonts w:eastAsia="Times New Roman" w:cs="Arial"/>
                <w:sz w:val="20"/>
                <w:szCs w:val="20"/>
                <w:lang w:eastAsia="es-CO"/>
              </w:rPr>
              <w:br/>
            </w:r>
            <w:r w:rsidRPr="00A1418F">
              <w:rPr>
                <w:rFonts w:eastAsia="Times New Roman" w:cs="Arial"/>
                <w:sz w:val="20"/>
                <w:szCs w:val="20"/>
                <w:lang w:eastAsia="es-CO"/>
              </w:rPr>
              <w:br/>
              <w:t>En un contexto organizacional, la economía circular se refiere a un enfoque sistémico del diseño de procesos, productos/servicios y modelos de negocio, permitiendo un crecimiento económico sostenible mediante una gestión más eficaz de los recursos, como resultado de hacer que el flujo de materiales sea más circular, reduciendo y finalmente eliminando los residuos.</w:t>
            </w:r>
            <w:r w:rsidRPr="00A1418F">
              <w:rPr>
                <w:rFonts w:eastAsia="Times New Roman" w:cs="Arial"/>
                <w:sz w:val="20"/>
                <w:szCs w:val="20"/>
                <w:lang w:eastAsia="es-CO"/>
              </w:rPr>
              <w:br/>
            </w:r>
            <w:r w:rsidRPr="00A1418F">
              <w:rPr>
                <w:rFonts w:eastAsia="Times New Roman" w:cs="Arial"/>
                <w:sz w:val="20"/>
                <w:szCs w:val="20"/>
                <w:lang w:eastAsia="es-CO"/>
              </w:rPr>
              <w:br/>
              <w:t>Así mismo y con base en el análisis de la lectura, es necesario seguir trabajando e investigando para comprender como se puede adaptar suficientemente los futuros marcos normativos y reglamentarios para apoyar el paso a una economía circular, ya que todavía hay muchos vacíos normativos acerca del tema.</w:t>
            </w:r>
          </w:p>
        </w:tc>
      </w:tr>
      <w:tr w:rsidR="00A1418F" w:rsidRPr="00AB1C80" w14:paraId="793BC268" w14:textId="77777777" w:rsidTr="00A1418F">
        <w:trPr>
          <w:trHeight w:val="20"/>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582DA53"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lastRenderedPageBreak/>
              <w:t xml:space="preserve">Guía Distrital para la Transición Hacia Modelos de Negocio Circular </w:t>
            </w:r>
          </w:p>
        </w:tc>
        <w:tc>
          <w:tcPr>
            <w:tcW w:w="1696" w:type="dxa"/>
            <w:tcBorders>
              <w:top w:val="nil"/>
              <w:left w:val="nil"/>
              <w:bottom w:val="single" w:sz="4" w:space="0" w:color="auto"/>
              <w:right w:val="single" w:sz="4" w:space="0" w:color="auto"/>
            </w:tcBorders>
            <w:shd w:val="clear" w:color="auto" w:fill="auto"/>
            <w:vAlign w:val="center"/>
            <w:hideMark/>
          </w:tcPr>
          <w:p w14:paraId="37FEABA6"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Science</w:t>
            </w:r>
          </w:p>
        </w:tc>
        <w:tc>
          <w:tcPr>
            <w:tcW w:w="1319" w:type="dxa"/>
            <w:tcBorders>
              <w:top w:val="nil"/>
              <w:left w:val="nil"/>
              <w:bottom w:val="single" w:sz="4" w:space="0" w:color="auto"/>
              <w:right w:val="single" w:sz="4" w:space="0" w:color="auto"/>
            </w:tcBorders>
            <w:shd w:val="clear" w:color="auto" w:fill="auto"/>
            <w:vAlign w:val="center"/>
            <w:hideMark/>
          </w:tcPr>
          <w:p w14:paraId="400BBEC5" w14:textId="77777777" w:rsidR="00A1418F" w:rsidRPr="00A1418F" w:rsidRDefault="00A1418F" w:rsidP="00AB1C80">
            <w:pPr>
              <w:spacing w:line="276" w:lineRule="auto"/>
              <w:jc w:val="center"/>
              <w:rPr>
                <w:rFonts w:eastAsia="Times New Roman" w:cs="Arial"/>
                <w:color w:val="000000"/>
                <w:sz w:val="20"/>
                <w:szCs w:val="20"/>
                <w:lang w:eastAsia="es-CO"/>
              </w:rPr>
            </w:pPr>
            <w:r w:rsidRPr="00A1418F">
              <w:rPr>
                <w:rFonts w:eastAsia="Times New Roman" w:cs="Arial"/>
                <w:color w:val="000000"/>
                <w:sz w:val="20"/>
                <w:szCs w:val="20"/>
                <w:lang w:eastAsia="es-CO"/>
              </w:rPr>
              <w:t>2020</w:t>
            </w:r>
          </w:p>
        </w:tc>
        <w:tc>
          <w:tcPr>
            <w:tcW w:w="8608" w:type="dxa"/>
            <w:tcBorders>
              <w:top w:val="nil"/>
              <w:left w:val="nil"/>
              <w:bottom w:val="single" w:sz="4" w:space="0" w:color="auto"/>
              <w:right w:val="single" w:sz="4" w:space="0" w:color="auto"/>
            </w:tcBorders>
            <w:shd w:val="clear" w:color="auto" w:fill="auto"/>
            <w:vAlign w:val="center"/>
            <w:hideMark/>
          </w:tcPr>
          <w:p w14:paraId="1DA25FA3" w14:textId="77777777" w:rsidR="00A1418F" w:rsidRPr="00A1418F" w:rsidRDefault="00A1418F" w:rsidP="00AB1C80">
            <w:pPr>
              <w:spacing w:line="276" w:lineRule="auto"/>
              <w:jc w:val="center"/>
              <w:rPr>
                <w:rFonts w:eastAsia="Times New Roman" w:cs="Arial"/>
                <w:sz w:val="20"/>
                <w:szCs w:val="20"/>
                <w:lang w:eastAsia="es-CO"/>
              </w:rPr>
            </w:pPr>
            <w:r w:rsidRPr="00A1418F">
              <w:rPr>
                <w:rFonts w:eastAsia="Times New Roman" w:cs="Arial"/>
                <w:sz w:val="20"/>
                <w:szCs w:val="20"/>
                <w:lang w:eastAsia="es-CO"/>
              </w:rPr>
              <w:t>1. La economía circular busca:</w:t>
            </w:r>
            <w:r w:rsidRPr="00A1418F">
              <w:rPr>
                <w:rFonts w:eastAsia="Times New Roman" w:cs="Arial"/>
                <w:sz w:val="20"/>
                <w:szCs w:val="20"/>
                <w:lang w:eastAsia="es-CO"/>
              </w:rPr>
              <w:br/>
              <w:t>• Generar ahorro y aumentar la rentabilidad en toda la cadena de valor del producto o servicio</w:t>
            </w:r>
            <w:r w:rsidRPr="00A1418F">
              <w:rPr>
                <w:rFonts w:eastAsia="Times New Roman" w:cs="Arial"/>
                <w:sz w:val="20"/>
                <w:szCs w:val="20"/>
                <w:lang w:eastAsia="es-CO"/>
              </w:rPr>
              <w:br/>
              <w:t>• Aumenta la productividad y la capacidad operacional</w:t>
            </w:r>
            <w:r w:rsidRPr="00A1418F">
              <w:rPr>
                <w:rFonts w:eastAsia="Times New Roman" w:cs="Arial"/>
                <w:sz w:val="20"/>
                <w:szCs w:val="20"/>
                <w:lang w:eastAsia="es-CO"/>
              </w:rPr>
              <w:br/>
              <w:t>• Motiva el desarrollo tecnológico a través de la innovación</w:t>
            </w:r>
            <w:r w:rsidRPr="00A1418F">
              <w:rPr>
                <w:rFonts w:eastAsia="Times New Roman" w:cs="Arial"/>
                <w:sz w:val="20"/>
                <w:szCs w:val="20"/>
                <w:lang w:eastAsia="es-CO"/>
              </w:rPr>
              <w:br/>
              <w:t>• Genera de manera directa o indirecta empleos verdes</w:t>
            </w:r>
            <w:r w:rsidRPr="00A1418F">
              <w:rPr>
                <w:rFonts w:eastAsia="Times New Roman" w:cs="Arial"/>
                <w:sz w:val="20"/>
                <w:szCs w:val="20"/>
                <w:lang w:eastAsia="es-CO"/>
              </w:rPr>
              <w:br/>
              <w:t>• Aumenta la competitividad para acceder a nuevos mercados y atraer inversiones</w:t>
            </w:r>
            <w:r w:rsidRPr="00A1418F">
              <w:rPr>
                <w:rFonts w:eastAsia="Times New Roman" w:cs="Arial"/>
                <w:sz w:val="20"/>
                <w:szCs w:val="20"/>
                <w:lang w:eastAsia="es-CO"/>
              </w:rPr>
              <w:br/>
            </w:r>
            <w:r w:rsidRPr="00A1418F">
              <w:rPr>
                <w:rFonts w:eastAsia="Times New Roman" w:cs="Arial"/>
                <w:sz w:val="20"/>
                <w:szCs w:val="20"/>
                <w:lang w:eastAsia="es-CO"/>
              </w:rPr>
              <w:br/>
              <w:t>2. Se pretende que el mundo transforme su modelo de economía lineal por un modelo de economía circular donde los elementos producidos no solo se consumen, sino que se reparan, transforman y reutilizan para ser empleados para la producción de nuevos productos. (Ver imagen 1 del presente formato)</w:t>
            </w:r>
            <w:r w:rsidRPr="00A1418F">
              <w:rPr>
                <w:rFonts w:eastAsia="Times New Roman" w:cs="Arial"/>
                <w:sz w:val="20"/>
                <w:szCs w:val="20"/>
                <w:lang w:eastAsia="es-CO"/>
              </w:rPr>
              <w:br/>
            </w:r>
            <w:r w:rsidRPr="00A1418F">
              <w:rPr>
                <w:rFonts w:eastAsia="Times New Roman" w:cs="Arial"/>
                <w:sz w:val="20"/>
                <w:szCs w:val="20"/>
                <w:lang w:eastAsia="es-CO"/>
              </w:rPr>
              <w:lastRenderedPageBreak/>
              <w:br/>
              <w:t>3. Con la puesta en marcha de la política nacional de producción y consumo sostenible, se implementó el análisis del ciclo de vida, la cual busca impulsar para el 2030 un aumento de la competitividad y producción económica a través del uso sostenible y la conservación de los recursos naturales.</w:t>
            </w:r>
          </w:p>
        </w:tc>
      </w:tr>
    </w:tbl>
    <w:p w14:paraId="15663F2D" w14:textId="77777777" w:rsidR="00EC1D7A" w:rsidRPr="00AB1C80" w:rsidRDefault="00EC1D7A" w:rsidP="00AB1C80">
      <w:pPr>
        <w:pStyle w:val="Fuente"/>
        <w:spacing w:line="276" w:lineRule="auto"/>
        <w:rPr>
          <w:rFonts w:cs="Arial"/>
          <w:lang w:val="es-CO"/>
        </w:rPr>
      </w:pPr>
      <w:r w:rsidRPr="00AB1C80">
        <w:rPr>
          <w:rFonts w:cs="Arial"/>
          <w:lang w:val="es-CO"/>
        </w:rPr>
        <w:lastRenderedPageBreak/>
        <w:t>Fuente: ATG Ltda., 2021.</w:t>
      </w:r>
    </w:p>
    <w:p w14:paraId="0E9259EC" w14:textId="77777777" w:rsidR="00EC1D7A" w:rsidRPr="00AB1C80" w:rsidRDefault="00EC1D7A" w:rsidP="00AB1C80">
      <w:pPr>
        <w:spacing w:line="276" w:lineRule="auto"/>
        <w:jc w:val="center"/>
        <w:rPr>
          <w:rFonts w:cs="Arial"/>
        </w:rPr>
      </w:pPr>
    </w:p>
    <w:p w14:paraId="1F906B88" w14:textId="7D8A4918" w:rsidR="00EC1D7A" w:rsidRPr="00AB1C80" w:rsidRDefault="00EC1D7A" w:rsidP="00AB1C80">
      <w:pPr>
        <w:pStyle w:val="Descripcin"/>
        <w:spacing w:line="276" w:lineRule="auto"/>
        <w:rPr>
          <w:rFonts w:cs="Arial"/>
          <w:lang w:val="es-CO"/>
        </w:rPr>
      </w:pPr>
      <w:bookmarkStart w:id="96" w:name="_Ref86256773"/>
      <w:bookmarkStart w:id="97" w:name="_Toc86333027"/>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22</w:t>
      </w:r>
      <w:r w:rsidRPr="00AB1C80">
        <w:rPr>
          <w:rFonts w:cs="Arial"/>
          <w:lang w:val="es-CO"/>
        </w:rPr>
        <w:fldChar w:fldCharType="end"/>
      </w:r>
      <w:bookmarkEnd w:id="96"/>
      <w:r w:rsidRPr="00AB1C80">
        <w:rPr>
          <w:rFonts w:cs="Arial"/>
          <w:lang w:val="es-CO"/>
        </w:rPr>
        <w:t xml:space="preserve">. Revisión de información nacional por </w:t>
      </w:r>
      <w:r w:rsidR="00F02581" w:rsidRPr="00AB1C80">
        <w:rPr>
          <w:rFonts w:cs="Arial"/>
          <w:lang w:val="es-CO"/>
        </w:rPr>
        <w:t>otros documentos</w:t>
      </w:r>
      <w:r w:rsidRPr="00AB1C80">
        <w:rPr>
          <w:rFonts w:cs="Arial"/>
          <w:lang w:val="es-CO"/>
        </w:rPr>
        <w:t xml:space="preserve"> para </w:t>
      </w:r>
      <w:r w:rsidR="00443CDB" w:rsidRPr="00AB1C80">
        <w:rPr>
          <w:rFonts w:cs="Arial"/>
          <w:lang w:val="es-CO"/>
        </w:rPr>
        <w:t>economía circular</w:t>
      </w:r>
      <w:r w:rsidRPr="00AB1C80">
        <w:rPr>
          <w:rFonts w:cs="Arial"/>
          <w:lang w:val="es-CO"/>
        </w:rPr>
        <w:t>.</w:t>
      </w:r>
      <w:bookmarkEnd w:id="97"/>
    </w:p>
    <w:tbl>
      <w:tblPr>
        <w:tblW w:w="14175" w:type="dxa"/>
        <w:jc w:val="center"/>
        <w:tblCellMar>
          <w:left w:w="70" w:type="dxa"/>
          <w:right w:w="70" w:type="dxa"/>
        </w:tblCellMar>
        <w:tblLook w:val="04A0" w:firstRow="1" w:lastRow="0" w:firstColumn="1" w:lastColumn="0" w:noHBand="0" w:noVBand="1"/>
      </w:tblPr>
      <w:tblGrid>
        <w:gridCol w:w="2552"/>
        <w:gridCol w:w="1701"/>
        <w:gridCol w:w="1275"/>
        <w:gridCol w:w="8647"/>
      </w:tblGrid>
      <w:tr w:rsidR="00361F20" w:rsidRPr="00AB1C80" w14:paraId="4BF03DC1" w14:textId="77777777" w:rsidTr="00361F20">
        <w:trPr>
          <w:trHeight w:val="20"/>
          <w:tblHeader/>
          <w:jc w:val="center"/>
        </w:trPr>
        <w:tc>
          <w:tcPr>
            <w:tcW w:w="2552"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558302D1" w14:textId="77777777" w:rsidR="00361F20" w:rsidRPr="00361F20" w:rsidRDefault="00361F20" w:rsidP="00AB1C80">
            <w:pPr>
              <w:spacing w:line="276" w:lineRule="auto"/>
              <w:jc w:val="center"/>
              <w:rPr>
                <w:rFonts w:eastAsia="Times New Roman" w:cs="Arial"/>
                <w:b/>
                <w:bCs/>
                <w:color w:val="FFFFFF"/>
                <w:sz w:val="20"/>
                <w:szCs w:val="20"/>
                <w:lang w:eastAsia="es-CO"/>
              </w:rPr>
            </w:pPr>
            <w:r w:rsidRPr="00361F20">
              <w:rPr>
                <w:rFonts w:eastAsia="Times New Roman" w:cs="Arial"/>
                <w:b/>
                <w:bCs/>
                <w:color w:val="FFFFFF"/>
                <w:sz w:val="20"/>
                <w:szCs w:val="20"/>
                <w:lang w:eastAsia="es-CO"/>
              </w:rPr>
              <w:t>Nombre del Documento</w:t>
            </w:r>
          </w:p>
        </w:tc>
        <w:tc>
          <w:tcPr>
            <w:tcW w:w="1701" w:type="dxa"/>
            <w:tcBorders>
              <w:top w:val="single" w:sz="4" w:space="0" w:color="auto"/>
              <w:left w:val="nil"/>
              <w:bottom w:val="single" w:sz="4" w:space="0" w:color="auto"/>
              <w:right w:val="single" w:sz="4" w:space="0" w:color="auto"/>
            </w:tcBorders>
            <w:shd w:val="clear" w:color="1E345C" w:fill="1E345C"/>
            <w:vAlign w:val="center"/>
            <w:hideMark/>
          </w:tcPr>
          <w:p w14:paraId="1E0FF979" w14:textId="77777777" w:rsidR="00361F20" w:rsidRPr="00361F20" w:rsidRDefault="00361F20" w:rsidP="00AB1C80">
            <w:pPr>
              <w:spacing w:line="276" w:lineRule="auto"/>
              <w:jc w:val="center"/>
              <w:rPr>
                <w:rFonts w:eastAsia="Times New Roman" w:cs="Arial"/>
                <w:b/>
                <w:bCs/>
                <w:color w:val="FFFFFF"/>
                <w:sz w:val="20"/>
                <w:szCs w:val="20"/>
                <w:lang w:eastAsia="es-CO"/>
              </w:rPr>
            </w:pPr>
            <w:r w:rsidRPr="00361F20">
              <w:rPr>
                <w:rFonts w:eastAsia="Times New Roman" w:cs="Arial"/>
                <w:b/>
                <w:bCs/>
                <w:color w:val="FFFFFF"/>
                <w:sz w:val="20"/>
                <w:szCs w:val="20"/>
                <w:lang w:eastAsia="es-CO"/>
              </w:rPr>
              <w:t>Autor(es)</w:t>
            </w:r>
          </w:p>
        </w:tc>
        <w:tc>
          <w:tcPr>
            <w:tcW w:w="1275" w:type="dxa"/>
            <w:tcBorders>
              <w:top w:val="single" w:sz="4" w:space="0" w:color="auto"/>
              <w:left w:val="nil"/>
              <w:bottom w:val="single" w:sz="4" w:space="0" w:color="auto"/>
              <w:right w:val="single" w:sz="4" w:space="0" w:color="auto"/>
            </w:tcBorders>
            <w:shd w:val="clear" w:color="1E345C" w:fill="1E345C"/>
            <w:vAlign w:val="center"/>
            <w:hideMark/>
          </w:tcPr>
          <w:p w14:paraId="65E25FDC" w14:textId="77777777" w:rsidR="00361F20" w:rsidRPr="00361F20" w:rsidRDefault="00361F20" w:rsidP="00AB1C80">
            <w:pPr>
              <w:spacing w:line="276" w:lineRule="auto"/>
              <w:jc w:val="center"/>
              <w:rPr>
                <w:rFonts w:eastAsia="Times New Roman" w:cs="Arial"/>
                <w:b/>
                <w:bCs/>
                <w:color w:val="FFFFFF"/>
                <w:sz w:val="20"/>
                <w:szCs w:val="20"/>
                <w:lang w:eastAsia="es-CO"/>
              </w:rPr>
            </w:pPr>
            <w:r w:rsidRPr="00361F20">
              <w:rPr>
                <w:rFonts w:eastAsia="Times New Roman" w:cs="Arial"/>
                <w:b/>
                <w:bCs/>
                <w:color w:val="FFFFFF"/>
                <w:sz w:val="20"/>
                <w:szCs w:val="20"/>
                <w:lang w:eastAsia="es-CO"/>
              </w:rPr>
              <w:t>Año de Publicación</w:t>
            </w:r>
          </w:p>
        </w:tc>
        <w:tc>
          <w:tcPr>
            <w:tcW w:w="8647" w:type="dxa"/>
            <w:tcBorders>
              <w:top w:val="single" w:sz="4" w:space="0" w:color="auto"/>
              <w:left w:val="nil"/>
              <w:bottom w:val="single" w:sz="4" w:space="0" w:color="auto"/>
              <w:right w:val="single" w:sz="4" w:space="0" w:color="auto"/>
            </w:tcBorders>
            <w:shd w:val="clear" w:color="1E345C" w:fill="1E345C"/>
            <w:vAlign w:val="center"/>
            <w:hideMark/>
          </w:tcPr>
          <w:p w14:paraId="38847102" w14:textId="77777777" w:rsidR="00361F20" w:rsidRPr="00361F20" w:rsidRDefault="00361F20" w:rsidP="00AB1C80">
            <w:pPr>
              <w:spacing w:line="276" w:lineRule="auto"/>
              <w:jc w:val="center"/>
              <w:rPr>
                <w:rFonts w:eastAsia="Times New Roman" w:cs="Arial"/>
                <w:b/>
                <w:bCs/>
                <w:color w:val="FFFFFF"/>
                <w:sz w:val="20"/>
                <w:szCs w:val="20"/>
                <w:lang w:eastAsia="es-CO"/>
              </w:rPr>
            </w:pPr>
            <w:r w:rsidRPr="00361F20">
              <w:rPr>
                <w:rFonts w:eastAsia="Times New Roman" w:cs="Arial"/>
                <w:b/>
                <w:bCs/>
                <w:color w:val="FFFFFF"/>
                <w:sz w:val="20"/>
                <w:szCs w:val="20"/>
                <w:lang w:eastAsia="es-CO"/>
              </w:rPr>
              <w:t>Análisis, critica e interpretación</w:t>
            </w:r>
          </w:p>
        </w:tc>
      </w:tr>
      <w:tr w:rsidR="00361F20" w:rsidRPr="00AB1C80" w14:paraId="647BB984" w14:textId="77777777" w:rsidTr="00361F20">
        <w:trPr>
          <w:trHeight w:val="20"/>
          <w:jc w:val="center"/>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5A7E01C2"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 xml:space="preserve">Cierre de Ciclos Materiales Innovación, Tecnología, Colaboración y Nuevos Modelos de Negocio. </w:t>
            </w:r>
          </w:p>
        </w:tc>
        <w:tc>
          <w:tcPr>
            <w:tcW w:w="1701" w:type="dxa"/>
            <w:tcBorders>
              <w:top w:val="nil"/>
              <w:left w:val="nil"/>
              <w:bottom w:val="single" w:sz="4" w:space="0" w:color="auto"/>
              <w:right w:val="single" w:sz="4" w:space="0" w:color="auto"/>
            </w:tcBorders>
            <w:shd w:val="clear" w:color="auto" w:fill="auto"/>
            <w:vAlign w:val="center"/>
            <w:hideMark/>
          </w:tcPr>
          <w:p w14:paraId="2F1657DA"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Ministerio de Ambiente y Desarrollo Sostenible, Ministerio de Comercio, Industria y Turismo</w:t>
            </w:r>
          </w:p>
        </w:tc>
        <w:tc>
          <w:tcPr>
            <w:tcW w:w="1275" w:type="dxa"/>
            <w:tcBorders>
              <w:top w:val="nil"/>
              <w:left w:val="nil"/>
              <w:bottom w:val="single" w:sz="4" w:space="0" w:color="auto"/>
              <w:right w:val="single" w:sz="4" w:space="0" w:color="auto"/>
            </w:tcBorders>
            <w:shd w:val="clear" w:color="auto" w:fill="auto"/>
            <w:vAlign w:val="center"/>
            <w:hideMark/>
          </w:tcPr>
          <w:p w14:paraId="07352103"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2019</w:t>
            </w:r>
          </w:p>
        </w:tc>
        <w:tc>
          <w:tcPr>
            <w:tcW w:w="8647" w:type="dxa"/>
            <w:tcBorders>
              <w:top w:val="nil"/>
              <w:left w:val="nil"/>
              <w:bottom w:val="single" w:sz="4" w:space="0" w:color="auto"/>
              <w:right w:val="single" w:sz="4" w:space="0" w:color="auto"/>
            </w:tcBorders>
            <w:shd w:val="clear" w:color="auto" w:fill="auto"/>
            <w:vAlign w:val="center"/>
            <w:hideMark/>
          </w:tcPr>
          <w:p w14:paraId="1C402943" w14:textId="57B2277E" w:rsidR="00361F20" w:rsidRPr="00361F20" w:rsidRDefault="00361F20" w:rsidP="00533937">
            <w:pPr>
              <w:spacing w:line="276" w:lineRule="auto"/>
              <w:rPr>
                <w:rFonts w:eastAsia="Times New Roman" w:cs="Arial"/>
                <w:sz w:val="20"/>
                <w:szCs w:val="20"/>
                <w:lang w:eastAsia="es-CO"/>
              </w:rPr>
            </w:pPr>
            <w:r w:rsidRPr="00361F20">
              <w:rPr>
                <w:rFonts w:eastAsia="Times New Roman" w:cs="Arial"/>
                <w:sz w:val="20"/>
                <w:szCs w:val="20"/>
                <w:lang w:eastAsia="es-CO"/>
              </w:rPr>
              <w:t>La economía circular es un nuevo modelo de desarrollo en el que se maneja eficientemente los materiales, el agua y la energía, en el que la palabra desechos y contaminación que ya hacen parte de la cotidianidad pierden toda su importancia ya que el reusó, el reciclaje, el consumo sostenible y el aprovechamiento de los materiales es el nuevo modelo de desarrollo económico, ambiental y social del país.</w:t>
            </w:r>
            <w:r w:rsidRPr="00361F20">
              <w:rPr>
                <w:rFonts w:eastAsia="Times New Roman" w:cs="Arial"/>
                <w:sz w:val="20"/>
                <w:szCs w:val="20"/>
                <w:lang w:eastAsia="es-CO"/>
              </w:rPr>
              <w:br/>
            </w:r>
            <w:r w:rsidRPr="00361F20">
              <w:rPr>
                <w:rFonts w:eastAsia="Times New Roman" w:cs="Arial"/>
                <w:sz w:val="20"/>
                <w:szCs w:val="20"/>
                <w:lang w:eastAsia="es-CO"/>
              </w:rPr>
              <w:br/>
              <w:t>Por lo tanto, la transformación de la economía lineal hacia una economía circular implica un proceso de cambio y ajuste del paradigma productivo y de consumo de empresas e individuos</w:t>
            </w:r>
            <w:r w:rsidRPr="00361F20">
              <w:rPr>
                <w:rFonts w:eastAsia="Times New Roman" w:cs="Arial"/>
                <w:sz w:val="20"/>
                <w:szCs w:val="20"/>
                <w:lang w:eastAsia="es-CO"/>
              </w:rPr>
              <w:br/>
            </w:r>
            <w:r w:rsidRPr="00361F20">
              <w:rPr>
                <w:rFonts w:eastAsia="Times New Roman" w:cs="Arial"/>
                <w:sz w:val="20"/>
                <w:szCs w:val="20"/>
                <w:lang w:eastAsia="es-CO"/>
              </w:rPr>
              <w:br/>
              <w:t xml:space="preserve">Colombia es el primer país de América Latina en implementar una estrategia de economía circular, en donde las empresas juegan un papel fundamental, ejecutando nuevos modelos de negocio que a través de la innovación aprovechan al máximo los recursos y permiten que los residuos de unos puedan ser insumos para otros, sistema conocido como el cierre de ciclos de materiales. Así mismo se espera que Colombia en el año 2030 sea líder en Latinoamérica en la implementación de este nuevo modelo.  </w:t>
            </w:r>
            <w:r w:rsidRPr="00361F20">
              <w:rPr>
                <w:rFonts w:eastAsia="Times New Roman" w:cs="Arial"/>
                <w:sz w:val="20"/>
                <w:szCs w:val="20"/>
                <w:lang w:eastAsia="es-CO"/>
              </w:rPr>
              <w:br/>
            </w:r>
            <w:r w:rsidRPr="00361F20">
              <w:rPr>
                <w:rFonts w:eastAsia="Times New Roman" w:cs="Arial"/>
                <w:sz w:val="20"/>
                <w:szCs w:val="20"/>
                <w:lang w:eastAsia="es-CO"/>
              </w:rPr>
              <w:br/>
              <w:t xml:space="preserve">La estrategia colombiana de economía </w:t>
            </w:r>
            <w:r w:rsidRPr="00AB1C80">
              <w:rPr>
                <w:rFonts w:eastAsia="Times New Roman" w:cs="Arial"/>
                <w:sz w:val="20"/>
                <w:szCs w:val="20"/>
                <w:lang w:eastAsia="es-CO"/>
              </w:rPr>
              <w:t>circular</w:t>
            </w:r>
            <w:r w:rsidRPr="00361F20">
              <w:rPr>
                <w:rFonts w:eastAsia="Times New Roman" w:cs="Arial"/>
                <w:sz w:val="20"/>
                <w:szCs w:val="20"/>
                <w:lang w:eastAsia="es-CO"/>
              </w:rPr>
              <w:t xml:space="preserve"> contempla seis líneas de acción prioritarias de acuerdo con los tipos de materiales aprovechables: (materiales industriales y productos de consumo masivo, materiales de envases y empaques, biomasa, energía, agua y materiales de construcción).</w:t>
            </w:r>
          </w:p>
        </w:tc>
      </w:tr>
      <w:tr w:rsidR="00361F20" w:rsidRPr="00AB1C80" w14:paraId="1B7A5D26" w14:textId="77777777" w:rsidTr="00361F20">
        <w:trPr>
          <w:trHeight w:val="20"/>
          <w:jc w:val="center"/>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7988F669"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lastRenderedPageBreak/>
              <w:t>Modelos Empresariales de Economía Circular en PYMES de Cali</w:t>
            </w:r>
          </w:p>
        </w:tc>
        <w:tc>
          <w:tcPr>
            <w:tcW w:w="1701" w:type="dxa"/>
            <w:tcBorders>
              <w:top w:val="nil"/>
              <w:left w:val="nil"/>
              <w:bottom w:val="single" w:sz="4" w:space="0" w:color="auto"/>
              <w:right w:val="single" w:sz="4" w:space="0" w:color="auto"/>
            </w:tcBorders>
            <w:shd w:val="clear" w:color="auto" w:fill="auto"/>
            <w:vAlign w:val="center"/>
            <w:hideMark/>
          </w:tcPr>
          <w:p w14:paraId="166204D8"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Johan Sebastián Ortiz Hermida</w:t>
            </w:r>
          </w:p>
        </w:tc>
        <w:tc>
          <w:tcPr>
            <w:tcW w:w="1275" w:type="dxa"/>
            <w:tcBorders>
              <w:top w:val="nil"/>
              <w:left w:val="nil"/>
              <w:bottom w:val="single" w:sz="4" w:space="0" w:color="auto"/>
              <w:right w:val="single" w:sz="4" w:space="0" w:color="auto"/>
            </w:tcBorders>
            <w:shd w:val="clear" w:color="auto" w:fill="auto"/>
            <w:noWrap/>
            <w:vAlign w:val="center"/>
            <w:hideMark/>
          </w:tcPr>
          <w:p w14:paraId="49609F1F"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2019</w:t>
            </w:r>
          </w:p>
        </w:tc>
        <w:tc>
          <w:tcPr>
            <w:tcW w:w="8647" w:type="dxa"/>
            <w:tcBorders>
              <w:top w:val="nil"/>
              <w:left w:val="nil"/>
              <w:bottom w:val="single" w:sz="4" w:space="0" w:color="auto"/>
              <w:right w:val="single" w:sz="4" w:space="0" w:color="auto"/>
            </w:tcBorders>
            <w:shd w:val="clear" w:color="auto" w:fill="auto"/>
            <w:vAlign w:val="center"/>
            <w:hideMark/>
          </w:tcPr>
          <w:p w14:paraId="1AC53B23" w14:textId="77777777" w:rsidR="00361F20" w:rsidRPr="00361F20" w:rsidRDefault="00361F20" w:rsidP="00533937">
            <w:pPr>
              <w:spacing w:line="276" w:lineRule="auto"/>
              <w:rPr>
                <w:rFonts w:eastAsia="Times New Roman" w:cs="Arial"/>
                <w:sz w:val="20"/>
                <w:szCs w:val="20"/>
                <w:lang w:eastAsia="es-CO"/>
              </w:rPr>
            </w:pPr>
            <w:r w:rsidRPr="00361F20">
              <w:rPr>
                <w:rFonts w:eastAsia="Times New Roman" w:cs="Arial"/>
                <w:sz w:val="20"/>
                <w:szCs w:val="20"/>
                <w:lang w:eastAsia="es-CO"/>
              </w:rPr>
              <w:t>Se toman en cuenta dentro del proyecto de investigación diferentes métodos y/o alternativas de control y seguimiento para evaluar y clasificar las actividades desarrolladas referentes a los principios de economía circular que se vienen implementando dentro de cada una de las pymes que se han enfocado en desarrollar un modelo de negocio circular en la ciudad de Cali.</w:t>
            </w:r>
            <w:r w:rsidRPr="00361F20">
              <w:rPr>
                <w:rFonts w:eastAsia="Times New Roman" w:cs="Arial"/>
                <w:sz w:val="20"/>
                <w:szCs w:val="20"/>
                <w:lang w:eastAsia="es-CO"/>
              </w:rPr>
              <w:br/>
            </w:r>
            <w:r w:rsidRPr="00361F20">
              <w:rPr>
                <w:rFonts w:eastAsia="Times New Roman" w:cs="Arial"/>
                <w:sz w:val="20"/>
                <w:szCs w:val="20"/>
                <w:lang w:eastAsia="es-CO"/>
              </w:rPr>
              <w:br/>
              <w:t>Por lo tanto y con base en el análisis del documento se puede afirmar que la economía circular es un modelo económico alternativo al modelo actual de producción y consumo lineal, que por sus ventajas en términos de sostenibilidad ambiental, económico y social presenta en la actualidad un gran auge y reconocimiento en Colombia y a nivel internacional. En el país a nivel macro se viene adelantando estrategias y políticas en materia de economía circular buscando así que empresas, industrias y demás actores productivos puedan hacer su transición hacia esta economía regenerativa y restaurativa. A nivel más micro, las grandes empresas y pymes están haciendo hoy prácticas y procesos productivos más limpios y a su vez desarrollan diferentes actividades propias del modelo, debido a su capacidad financiera, operativa y por cumplimiento de normatividades.</w:t>
            </w:r>
          </w:p>
        </w:tc>
      </w:tr>
      <w:tr w:rsidR="00361F20" w:rsidRPr="00AB1C80" w14:paraId="67C98E29" w14:textId="77777777" w:rsidTr="00361F20">
        <w:trPr>
          <w:trHeight w:val="20"/>
          <w:jc w:val="center"/>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40542D75"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Primer Reporte de Economía Circular</w:t>
            </w:r>
          </w:p>
        </w:tc>
        <w:tc>
          <w:tcPr>
            <w:tcW w:w="1701" w:type="dxa"/>
            <w:tcBorders>
              <w:top w:val="nil"/>
              <w:left w:val="nil"/>
              <w:bottom w:val="single" w:sz="4" w:space="0" w:color="auto"/>
              <w:right w:val="single" w:sz="4" w:space="0" w:color="auto"/>
            </w:tcBorders>
            <w:shd w:val="clear" w:color="auto" w:fill="auto"/>
            <w:vAlign w:val="center"/>
            <w:hideMark/>
          </w:tcPr>
          <w:p w14:paraId="7860B33F"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DANE</w:t>
            </w:r>
          </w:p>
        </w:tc>
        <w:tc>
          <w:tcPr>
            <w:tcW w:w="1275" w:type="dxa"/>
            <w:tcBorders>
              <w:top w:val="nil"/>
              <w:left w:val="nil"/>
              <w:bottom w:val="single" w:sz="4" w:space="0" w:color="auto"/>
              <w:right w:val="single" w:sz="4" w:space="0" w:color="auto"/>
            </w:tcBorders>
            <w:shd w:val="clear" w:color="auto" w:fill="auto"/>
            <w:vAlign w:val="center"/>
            <w:hideMark/>
          </w:tcPr>
          <w:p w14:paraId="30C97E9C"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2020</w:t>
            </w:r>
          </w:p>
        </w:tc>
        <w:tc>
          <w:tcPr>
            <w:tcW w:w="8647" w:type="dxa"/>
            <w:tcBorders>
              <w:top w:val="nil"/>
              <w:left w:val="nil"/>
              <w:bottom w:val="single" w:sz="4" w:space="0" w:color="auto"/>
              <w:right w:val="single" w:sz="4" w:space="0" w:color="auto"/>
            </w:tcBorders>
            <w:shd w:val="clear" w:color="auto" w:fill="auto"/>
            <w:vAlign w:val="center"/>
            <w:hideMark/>
          </w:tcPr>
          <w:p w14:paraId="3D0AF0ED" w14:textId="26F07D02" w:rsidR="00361F20" w:rsidRPr="00361F20" w:rsidRDefault="00361F20" w:rsidP="00AB1C80">
            <w:pPr>
              <w:spacing w:line="276" w:lineRule="auto"/>
              <w:jc w:val="center"/>
              <w:rPr>
                <w:rFonts w:eastAsia="Times New Roman" w:cs="Arial"/>
                <w:sz w:val="20"/>
                <w:szCs w:val="20"/>
                <w:lang w:eastAsia="es-CO"/>
              </w:rPr>
            </w:pPr>
            <w:r w:rsidRPr="00361F20">
              <w:rPr>
                <w:rFonts w:eastAsia="Times New Roman" w:cs="Arial"/>
                <w:sz w:val="20"/>
                <w:szCs w:val="20"/>
                <w:lang w:eastAsia="es-CO"/>
              </w:rPr>
              <w:t>1. Se establece claramente la diferencia entre el flujo de economía lineal y economía circular mediante cuatro componentes relacionados con cada una de las fases de un proceso de producción de bienes y/o servicios.</w:t>
            </w:r>
            <w:r w:rsidRPr="00361F20">
              <w:rPr>
                <w:rFonts w:eastAsia="Times New Roman" w:cs="Arial"/>
                <w:sz w:val="20"/>
                <w:szCs w:val="20"/>
                <w:lang w:eastAsia="es-CO"/>
              </w:rPr>
              <w:br/>
            </w:r>
            <w:r w:rsidRPr="00361F20">
              <w:rPr>
                <w:rFonts w:eastAsia="Times New Roman" w:cs="Arial"/>
                <w:sz w:val="20"/>
                <w:szCs w:val="20"/>
                <w:lang w:eastAsia="es-CO"/>
              </w:rPr>
              <w:br/>
              <w:t xml:space="preserve">Lineal: </w:t>
            </w:r>
            <w:r w:rsidRPr="00361F20">
              <w:rPr>
                <w:rFonts w:eastAsia="Times New Roman" w:cs="Arial"/>
                <w:sz w:val="20"/>
                <w:szCs w:val="20"/>
                <w:lang w:eastAsia="es-CO"/>
              </w:rPr>
              <w:br/>
              <w:t>• Extracción de recursos naturales</w:t>
            </w:r>
            <w:r w:rsidRPr="00361F20">
              <w:rPr>
                <w:rFonts w:eastAsia="Times New Roman" w:cs="Arial"/>
                <w:sz w:val="20"/>
                <w:szCs w:val="20"/>
                <w:lang w:eastAsia="es-CO"/>
              </w:rPr>
              <w:br/>
              <w:t>• Producción de bienes y servicios</w:t>
            </w:r>
            <w:r w:rsidRPr="00361F20">
              <w:rPr>
                <w:rFonts w:eastAsia="Times New Roman" w:cs="Arial"/>
                <w:sz w:val="20"/>
                <w:szCs w:val="20"/>
                <w:lang w:eastAsia="es-CO"/>
              </w:rPr>
              <w:br/>
              <w:t>• Consumo y uso</w:t>
            </w:r>
            <w:r w:rsidRPr="00361F20">
              <w:rPr>
                <w:rFonts w:eastAsia="Times New Roman" w:cs="Arial"/>
                <w:sz w:val="20"/>
                <w:szCs w:val="20"/>
                <w:lang w:eastAsia="es-CO"/>
              </w:rPr>
              <w:br/>
              <w:t>• Generación de desechos</w:t>
            </w:r>
            <w:r w:rsidRPr="00361F20">
              <w:rPr>
                <w:rFonts w:eastAsia="Times New Roman" w:cs="Arial"/>
                <w:sz w:val="20"/>
                <w:szCs w:val="20"/>
                <w:lang w:eastAsia="es-CO"/>
              </w:rPr>
              <w:br/>
            </w:r>
            <w:r w:rsidRPr="00361F20">
              <w:rPr>
                <w:rFonts w:eastAsia="Times New Roman" w:cs="Arial"/>
                <w:sz w:val="20"/>
                <w:szCs w:val="20"/>
                <w:lang w:eastAsia="es-CO"/>
              </w:rPr>
              <w:br/>
              <w:t xml:space="preserve">Circular: </w:t>
            </w:r>
            <w:r w:rsidRPr="00361F20">
              <w:rPr>
                <w:rFonts w:eastAsia="Times New Roman" w:cs="Arial"/>
                <w:sz w:val="20"/>
                <w:szCs w:val="20"/>
                <w:lang w:eastAsia="es-CO"/>
              </w:rPr>
              <w:br/>
              <w:t>• Extracción de activos ambientales</w:t>
            </w:r>
            <w:r w:rsidRPr="00361F20">
              <w:rPr>
                <w:rFonts w:eastAsia="Times New Roman" w:cs="Arial"/>
                <w:sz w:val="20"/>
                <w:szCs w:val="20"/>
                <w:lang w:eastAsia="es-CO"/>
              </w:rPr>
              <w:br/>
              <w:t>• Producción de bienes y servicios</w:t>
            </w:r>
            <w:r w:rsidRPr="00361F20">
              <w:rPr>
                <w:rFonts w:eastAsia="Times New Roman" w:cs="Arial"/>
                <w:sz w:val="20"/>
                <w:szCs w:val="20"/>
                <w:lang w:eastAsia="es-CO"/>
              </w:rPr>
              <w:br/>
              <w:t>• Consumo y uso</w:t>
            </w:r>
            <w:r w:rsidRPr="00361F20">
              <w:rPr>
                <w:rFonts w:eastAsia="Times New Roman" w:cs="Arial"/>
                <w:sz w:val="20"/>
                <w:szCs w:val="20"/>
                <w:lang w:eastAsia="es-CO"/>
              </w:rPr>
              <w:br/>
              <w:t>• Cierre y optimización de los ciclos de vida de los materiales y productos.</w:t>
            </w:r>
            <w:r w:rsidRPr="00361F20">
              <w:rPr>
                <w:rFonts w:eastAsia="Times New Roman" w:cs="Arial"/>
                <w:sz w:val="20"/>
                <w:szCs w:val="20"/>
                <w:lang w:eastAsia="es-CO"/>
              </w:rPr>
              <w:br/>
            </w:r>
            <w:r w:rsidRPr="00361F20">
              <w:rPr>
                <w:rFonts w:eastAsia="Times New Roman" w:cs="Arial"/>
                <w:sz w:val="20"/>
                <w:szCs w:val="20"/>
                <w:lang w:eastAsia="es-CO"/>
              </w:rPr>
              <w:lastRenderedPageBreak/>
              <w:br/>
              <w:t xml:space="preserve">La diferencia principal se encuentra al inicio y al final de cada uno de los flujos. En la economía lineal se establece como primer componente la Extracción de recursos naturales, mientras que en la economía circular se denomina Extracción de activos ambientales, es decir se </w:t>
            </w:r>
            <w:r w:rsidRPr="00AB1C80">
              <w:rPr>
                <w:rFonts w:eastAsia="Times New Roman" w:cs="Arial"/>
                <w:sz w:val="20"/>
                <w:szCs w:val="20"/>
                <w:lang w:eastAsia="es-CO"/>
              </w:rPr>
              <w:t>amplía</w:t>
            </w:r>
            <w:r w:rsidRPr="00361F20">
              <w:rPr>
                <w:rFonts w:eastAsia="Times New Roman" w:cs="Arial"/>
                <w:sz w:val="20"/>
                <w:szCs w:val="20"/>
                <w:lang w:eastAsia="es-CO"/>
              </w:rPr>
              <w:t xml:space="preserve"> el concepto ya que al ser un proceso cíclico no solo presenta como entradas los recursos naturales en su estado primario.</w:t>
            </w:r>
          </w:p>
        </w:tc>
      </w:tr>
      <w:tr w:rsidR="00361F20" w:rsidRPr="00AB1C80" w14:paraId="39837BEA" w14:textId="77777777" w:rsidTr="00361F20">
        <w:trPr>
          <w:trHeight w:val="20"/>
          <w:jc w:val="center"/>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3A5FA179"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lastRenderedPageBreak/>
              <w:t>Proyecto de Investigación Elaboración de Unidades de Mampostería Perforada de Concreto Utilizando Relaves Provenientes de la Minería de Agregados.</w:t>
            </w:r>
          </w:p>
        </w:tc>
        <w:tc>
          <w:tcPr>
            <w:tcW w:w="1701" w:type="dxa"/>
            <w:tcBorders>
              <w:top w:val="nil"/>
              <w:left w:val="nil"/>
              <w:bottom w:val="single" w:sz="4" w:space="0" w:color="auto"/>
              <w:right w:val="single" w:sz="4" w:space="0" w:color="auto"/>
            </w:tcBorders>
            <w:shd w:val="clear" w:color="auto" w:fill="auto"/>
            <w:vAlign w:val="center"/>
            <w:hideMark/>
          </w:tcPr>
          <w:p w14:paraId="01C26BFD"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 xml:space="preserve">Andrea Maryory Cerón </w:t>
            </w:r>
            <w:proofErr w:type="spellStart"/>
            <w:r w:rsidRPr="00361F20">
              <w:rPr>
                <w:rFonts w:eastAsia="Times New Roman" w:cs="Arial"/>
                <w:color w:val="000000"/>
                <w:sz w:val="20"/>
                <w:szCs w:val="20"/>
                <w:lang w:eastAsia="es-CO"/>
              </w:rPr>
              <w:t>Cerón</w:t>
            </w:r>
            <w:proofErr w:type="spellEnd"/>
            <w:r w:rsidRPr="00361F20">
              <w:rPr>
                <w:rFonts w:eastAsia="Times New Roman" w:cs="Arial"/>
                <w:color w:val="000000"/>
                <w:sz w:val="20"/>
                <w:szCs w:val="20"/>
                <w:lang w:eastAsia="es-CO"/>
              </w:rPr>
              <w:t xml:space="preserve"> y Carolina Gutiérrez Arango</w:t>
            </w:r>
          </w:p>
        </w:tc>
        <w:tc>
          <w:tcPr>
            <w:tcW w:w="1275" w:type="dxa"/>
            <w:tcBorders>
              <w:top w:val="nil"/>
              <w:left w:val="nil"/>
              <w:bottom w:val="single" w:sz="4" w:space="0" w:color="auto"/>
              <w:right w:val="single" w:sz="4" w:space="0" w:color="auto"/>
            </w:tcBorders>
            <w:shd w:val="clear" w:color="auto" w:fill="auto"/>
            <w:vAlign w:val="center"/>
            <w:hideMark/>
          </w:tcPr>
          <w:p w14:paraId="1AB571E6"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2019</w:t>
            </w:r>
          </w:p>
        </w:tc>
        <w:tc>
          <w:tcPr>
            <w:tcW w:w="8647" w:type="dxa"/>
            <w:tcBorders>
              <w:top w:val="nil"/>
              <w:left w:val="nil"/>
              <w:bottom w:val="single" w:sz="4" w:space="0" w:color="auto"/>
              <w:right w:val="single" w:sz="4" w:space="0" w:color="auto"/>
            </w:tcBorders>
            <w:shd w:val="clear" w:color="auto" w:fill="auto"/>
            <w:vAlign w:val="center"/>
            <w:hideMark/>
          </w:tcPr>
          <w:p w14:paraId="3DDF45BF" w14:textId="4443E3E0" w:rsidR="00361F20" w:rsidRPr="00361F20" w:rsidRDefault="00361F20" w:rsidP="00533937">
            <w:pPr>
              <w:spacing w:line="276" w:lineRule="auto"/>
              <w:rPr>
                <w:rFonts w:eastAsia="Times New Roman" w:cs="Arial"/>
                <w:sz w:val="20"/>
                <w:szCs w:val="20"/>
                <w:lang w:eastAsia="es-CO"/>
              </w:rPr>
            </w:pPr>
            <w:r w:rsidRPr="00361F20">
              <w:rPr>
                <w:rFonts w:eastAsia="Times New Roman" w:cs="Arial"/>
                <w:sz w:val="20"/>
                <w:szCs w:val="20"/>
                <w:lang w:eastAsia="es-CO"/>
              </w:rPr>
              <w:t>Siguiendo los parámetros de esta investigación, se espera una serie de posibles impactos que abarquen aspectos técnicos, en cuanto a su innovación y aporte a la ingeniería de la construcción; además de su contribución con el desarrollo sustentable de la sociedad, lo que ha sido punto de enfoque desde la concepción del proyecto</w:t>
            </w:r>
            <w:r w:rsidRPr="00361F20">
              <w:rPr>
                <w:rFonts w:eastAsia="Times New Roman" w:cs="Arial"/>
                <w:sz w:val="20"/>
                <w:szCs w:val="20"/>
                <w:lang w:eastAsia="es-CO"/>
              </w:rPr>
              <w:br/>
            </w:r>
            <w:r w:rsidRPr="00361F20">
              <w:rPr>
                <w:rFonts w:eastAsia="Times New Roman" w:cs="Arial"/>
                <w:sz w:val="20"/>
                <w:szCs w:val="20"/>
                <w:lang w:eastAsia="es-CO"/>
              </w:rPr>
              <w:br/>
              <w:t xml:space="preserve">En el aspecto técnico se establece la demostración de eficiencia de la técnica de elaboración de unidades de mampostería con materiales alternativos, mediante la metodología planteada en el proyecto de investigación. Así mismo en el sector ambiental la implementación de este material de construcción, como alternativa de reemplazo de los materiales convencionales y contaminantes. </w:t>
            </w:r>
            <w:r w:rsidRPr="00361F20">
              <w:rPr>
                <w:rFonts w:eastAsia="Times New Roman" w:cs="Arial"/>
                <w:sz w:val="20"/>
                <w:szCs w:val="20"/>
                <w:lang w:eastAsia="es-CO"/>
              </w:rPr>
              <w:br/>
            </w:r>
            <w:r w:rsidRPr="00361F20">
              <w:rPr>
                <w:rFonts w:eastAsia="Times New Roman" w:cs="Arial"/>
                <w:sz w:val="20"/>
                <w:szCs w:val="20"/>
                <w:lang w:eastAsia="es-CO"/>
              </w:rPr>
              <w:br/>
              <w:t xml:space="preserve">Actualmente, varios países mineros como Perú y </w:t>
            </w:r>
            <w:r w:rsidRPr="00AB1C80">
              <w:rPr>
                <w:rFonts w:eastAsia="Times New Roman" w:cs="Arial"/>
                <w:sz w:val="20"/>
                <w:szCs w:val="20"/>
                <w:lang w:eastAsia="es-CO"/>
              </w:rPr>
              <w:t>Chile</w:t>
            </w:r>
            <w:r w:rsidRPr="00361F20">
              <w:rPr>
                <w:rFonts w:eastAsia="Times New Roman" w:cs="Arial"/>
                <w:sz w:val="20"/>
                <w:szCs w:val="20"/>
                <w:lang w:eastAsia="es-CO"/>
              </w:rPr>
              <w:t xml:space="preserve"> han realizado importantes avances en la utilización y manejo de los pasivos ambientales, permitiendo encontrar alternativas que mitiguen las afectaciones generadas en el ambiente por estos residuos. Sin embargo, para Colombia, la información disponible acerca del manejo y uso de los relaves es escasa y dispersa</w:t>
            </w:r>
          </w:p>
        </w:tc>
      </w:tr>
      <w:tr w:rsidR="00361F20" w:rsidRPr="00AB1C80" w14:paraId="5EC59991" w14:textId="77777777" w:rsidTr="00361F20">
        <w:trPr>
          <w:trHeight w:val="20"/>
          <w:jc w:val="center"/>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04359D73"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 xml:space="preserve">Realizar un Análisis de Potencial de Reutilización de Minerales en Colombia y Definir Estrategias Orientadas a Fomentar su Aprovechamiento por Parte de la Industria en el País Bajo el Enfoque de Economía Circular </w:t>
            </w:r>
            <w:r w:rsidRPr="00361F20">
              <w:rPr>
                <w:rFonts w:eastAsia="Times New Roman" w:cs="Arial"/>
                <w:color w:val="000000"/>
                <w:sz w:val="20"/>
                <w:szCs w:val="20"/>
                <w:lang w:eastAsia="es-CO"/>
              </w:rPr>
              <w:lastRenderedPageBreak/>
              <w:t>Contrato Interadministrativo CI-049-2018</w:t>
            </w:r>
          </w:p>
        </w:tc>
        <w:tc>
          <w:tcPr>
            <w:tcW w:w="1701" w:type="dxa"/>
            <w:tcBorders>
              <w:top w:val="nil"/>
              <w:left w:val="nil"/>
              <w:bottom w:val="single" w:sz="4" w:space="0" w:color="auto"/>
              <w:right w:val="single" w:sz="4" w:space="0" w:color="auto"/>
            </w:tcBorders>
            <w:shd w:val="clear" w:color="auto" w:fill="auto"/>
            <w:vAlign w:val="center"/>
            <w:hideMark/>
          </w:tcPr>
          <w:p w14:paraId="17E5E54D"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lastRenderedPageBreak/>
              <w:t xml:space="preserve">Universidad Industrial de Santander, Unidad de Planeación Minero- Energética </w:t>
            </w:r>
          </w:p>
        </w:tc>
        <w:tc>
          <w:tcPr>
            <w:tcW w:w="1275" w:type="dxa"/>
            <w:tcBorders>
              <w:top w:val="nil"/>
              <w:left w:val="nil"/>
              <w:bottom w:val="single" w:sz="4" w:space="0" w:color="auto"/>
              <w:right w:val="single" w:sz="4" w:space="0" w:color="auto"/>
            </w:tcBorders>
            <w:shd w:val="clear" w:color="auto" w:fill="auto"/>
            <w:vAlign w:val="center"/>
            <w:hideMark/>
          </w:tcPr>
          <w:p w14:paraId="699A6801" w14:textId="77777777" w:rsidR="00361F20" w:rsidRPr="00361F20" w:rsidRDefault="00361F20" w:rsidP="00AB1C80">
            <w:pPr>
              <w:spacing w:line="276" w:lineRule="auto"/>
              <w:jc w:val="center"/>
              <w:rPr>
                <w:rFonts w:eastAsia="Times New Roman" w:cs="Arial"/>
                <w:color w:val="000000"/>
                <w:sz w:val="20"/>
                <w:szCs w:val="20"/>
                <w:lang w:eastAsia="es-CO"/>
              </w:rPr>
            </w:pPr>
            <w:r w:rsidRPr="00361F20">
              <w:rPr>
                <w:rFonts w:eastAsia="Times New Roman" w:cs="Arial"/>
                <w:color w:val="000000"/>
                <w:sz w:val="20"/>
                <w:szCs w:val="20"/>
                <w:lang w:eastAsia="es-CO"/>
              </w:rPr>
              <w:t>2018</w:t>
            </w:r>
          </w:p>
        </w:tc>
        <w:tc>
          <w:tcPr>
            <w:tcW w:w="8647" w:type="dxa"/>
            <w:tcBorders>
              <w:top w:val="nil"/>
              <w:left w:val="nil"/>
              <w:bottom w:val="single" w:sz="4" w:space="0" w:color="auto"/>
              <w:right w:val="single" w:sz="4" w:space="0" w:color="auto"/>
            </w:tcBorders>
            <w:shd w:val="clear" w:color="auto" w:fill="auto"/>
            <w:vAlign w:val="center"/>
            <w:hideMark/>
          </w:tcPr>
          <w:p w14:paraId="6394CE92" w14:textId="02DCEF57" w:rsidR="00361F20" w:rsidRPr="00361F20" w:rsidRDefault="00361F20" w:rsidP="00533937">
            <w:pPr>
              <w:spacing w:line="276" w:lineRule="auto"/>
              <w:rPr>
                <w:rFonts w:eastAsia="Times New Roman" w:cs="Arial"/>
                <w:sz w:val="20"/>
                <w:szCs w:val="20"/>
                <w:lang w:eastAsia="es-CO"/>
              </w:rPr>
            </w:pPr>
            <w:r w:rsidRPr="00361F20">
              <w:rPr>
                <w:rFonts w:eastAsia="Times New Roman" w:cs="Arial"/>
                <w:sz w:val="20"/>
                <w:szCs w:val="20"/>
                <w:lang w:eastAsia="es-CO"/>
              </w:rPr>
              <w:t>CENIZAS</w:t>
            </w:r>
            <w:r w:rsidRPr="00361F20">
              <w:rPr>
                <w:rFonts w:eastAsia="Times New Roman" w:cs="Arial"/>
                <w:sz w:val="20"/>
                <w:szCs w:val="20"/>
                <w:lang w:eastAsia="es-CO"/>
              </w:rPr>
              <w:br/>
              <w:t>La industria minera es una de las actividades más antiguas y con mayor producción de residuos que afectan ambientalmente al planeta, la ceniza es el subproducto que se produce en mayor medida. Se estima que en el mundo se producen anualmente alrededor de 600 millones de toneladas de este residuo77. La ceniza al no ser eliminada adecuadamente puede causar contaminación en el suelo y agua, además de generar problemas en los ciclos ecológicos y riesgos ambientales</w:t>
            </w:r>
            <w:r w:rsidRPr="00361F20">
              <w:rPr>
                <w:rFonts w:eastAsia="Times New Roman" w:cs="Arial"/>
                <w:sz w:val="20"/>
                <w:szCs w:val="20"/>
                <w:lang w:eastAsia="es-CO"/>
              </w:rPr>
              <w:br/>
            </w:r>
            <w:r w:rsidRPr="00361F20">
              <w:rPr>
                <w:rFonts w:eastAsia="Times New Roman" w:cs="Arial"/>
                <w:sz w:val="20"/>
                <w:szCs w:val="20"/>
                <w:lang w:eastAsia="es-CO"/>
              </w:rPr>
              <w:br/>
              <w:t xml:space="preserve">Los relaves normalmente están constituidos por mezclas de roca molida, agua, minerales de </w:t>
            </w:r>
            <w:r w:rsidRPr="00361F20">
              <w:rPr>
                <w:rFonts w:eastAsia="Times New Roman" w:cs="Arial"/>
                <w:sz w:val="20"/>
                <w:szCs w:val="20"/>
                <w:lang w:eastAsia="es-CO"/>
              </w:rPr>
              <w:lastRenderedPageBreak/>
              <w:t xml:space="preserve">ganga y algunos metales pesados como cobre, plomo, mercurio y arsénico. </w:t>
            </w:r>
            <w:r w:rsidR="00A54D0A" w:rsidRPr="00AB1C80">
              <w:rPr>
                <w:rFonts w:eastAsia="Times New Roman" w:cs="Arial"/>
                <w:sz w:val="20"/>
                <w:szCs w:val="20"/>
                <w:lang w:eastAsia="es-CO"/>
              </w:rPr>
              <w:t>De acuerdo con el</w:t>
            </w:r>
            <w:r w:rsidRPr="00361F20">
              <w:rPr>
                <w:rFonts w:eastAsia="Times New Roman" w:cs="Arial"/>
                <w:sz w:val="20"/>
                <w:szCs w:val="20"/>
                <w:lang w:eastAsia="es-CO"/>
              </w:rPr>
              <w:t xml:space="preserve"> tipo de tecnología que se utilice para la recuperación de oro dentro de estos relaves o residuos crea un interés económico, ya que algunos estudios han llegado a recuperaciones de oro en estos residuos hasta del 70 %</w:t>
            </w:r>
          </w:p>
        </w:tc>
      </w:tr>
    </w:tbl>
    <w:p w14:paraId="027A0E1C" w14:textId="77777777" w:rsidR="00EC1D7A" w:rsidRPr="00AB1C80" w:rsidRDefault="00EC1D7A" w:rsidP="00AB1C80">
      <w:pPr>
        <w:pStyle w:val="Fuente"/>
        <w:spacing w:line="276" w:lineRule="auto"/>
        <w:rPr>
          <w:rFonts w:cs="Arial"/>
          <w:lang w:val="es-CO"/>
        </w:rPr>
      </w:pPr>
      <w:r w:rsidRPr="00AB1C80">
        <w:rPr>
          <w:rFonts w:cs="Arial"/>
          <w:lang w:val="es-CO"/>
        </w:rPr>
        <w:lastRenderedPageBreak/>
        <w:t>Fuente: ATG Ltda., 2021.</w:t>
      </w:r>
    </w:p>
    <w:p w14:paraId="1F7C0983" w14:textId="6AA6C1A8" w:rsidR="00EC1D7A" w:rsidRPr="00AB1C80" w:rsidRDefault="00EC1D7A" w:rsidP="00AB1C80">
      <w:pPr>
        <w:spacing w:line="276" w:lineRule="auto"/>
        <w:jc w:val="center"/>
        <w:rPr>
          <w:rFonts w:cs="Arial"/>
        </w:rPr>
      </w:pPr>
    </w:p>
    <w:p w14:paraId="7351DD50" w14:textId="14FC3A95" w:rsidR="00F02581" w:rsidRPr="00AB1C80" w:rsidRDefault="00F02581" w:rsidP="00AB1C80">
      <w:pPr>
        <w:pStyle w:val="Descripcin"/>
        <w:spacing w:line="276" w:lineRule="auto"/>
        <w:rPr>
          <w:rFonts w:cs="Arial"/>
          <w:lang w:val="es-CO"/>
        </w:rPr>
      </w:pPr>
      <w:bookmarkStart w:id="98" w:name="_Ref86256775"/>
      <w:bookmarkStart w:id="99" w:name="_Toc86333028"/>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23</w:t>
      </w:r>
      <w:r w:rsidRPr="00AB1C80">
        <w:rPr>
          <w:rFonts w:cs="Arial"/>
          <w:lang w:val="es-CO"/>
        </w:rPr>
        <w:fldChar w:fldCharType="end"/>
      </w:r>
      <w:bookmarkEnd w:id="98"/>
      <w:r w:rsidRPr="00AB1C80">
        <w:rPr>
          <w:rFonts w:cs="Arial"/>
          <w:lang w:val="es-CO"/>
        </w:rPr>
        <w:t xml:space="preserve">. Revisión de información nacional por presentaciones para </w:t>
      </w:r>
      <w:r w:rsidR="00443CDB" w:rsidRPr="00AB1C80">
        <w:rPr>
          <w:rFonts w:cs="Arial"/>
          <w:lang w:val="es-CO"/>
        </w:rPr>
        <w:t>economía circular</w:t>
      </w:r>
      <w:r w:rsidRPr="00AB1C80">
        <w:rPr>
          <w:rFonts w:cs="Arial"/>
          <w:lang w:val="es-CO"/>
        </w:rPr>
        <w:t>.</w:t>
      </w:r>
      <w:bookmarkEnd w:id="99"/>
    </w:p>
    <w:tbl>
      <w:tblPr>
        <w:tblW w:w="14170" w:type="dxa"/>
        <w:jc w:val="center"/>
        <w:tblCellMar>
          <w:left w:w="70" w:type="dxa"/>
          <w:right w:w="70" w:type="dxa"/>
        </w:tblCellMar>
        <w:tblLook w:val="04A0" w:firstRow="1" w:lastRow="0" w:firstColumn="1" w:lastColumn="0" w:noHBand="0" w:noVBand="1"/>
      </w:tblPr>
      <w:tblGrid>
        <w:gridCol w:w="2547"/>
        <w:gridCol w:w="1701"/>
        <w:gridCol w:w="1276"/>
        <w:gridCol w:w="8646"/>
      </w:tblGrid>
      <w:tr w:rsidR="00BD30B1" w:rsidRPr="00AB1C80" w14:paraId="63975060" w14:textId="77777777" w:rsidTr="00BD30B1">
        <w:trPr>
          <w:trHeight w:val="20"/>
          <w:tblHeader/>
          <w:jc w:val="center"/>
        </w:trPr>
        <w:tc>
          <w:tcPr>
            <w:tcW w:w="2547" w:type="dxa"/>
            <w:tcBorders>
              <w:top w:val="single" w:sz="4" w:space="0" w:color="auto"/>
              <w:left w:val="single" w:sz="4" w:space="0" w:color="auto"/>
              <w:bottom w:val="single" w:sz="4" w:space="0" w:color="auto"/>
              <w:right w:val="single" w:sz="4" w:space="0" w:color="auto"/>
            </w:tcBorders>
            <w:shd w:val="clear" w:color="1E345C" w:fill="1E345C"/>
            <w:vAlign w:val="center"/>
            <w:hideMark/>
          </w:tcPr>
          <w:p w14:paraId="27E2D803" w14:textId="77777777" w:rsidR="00BD30B1" w:rsidRPr="00BD30B1" w:rsidRDefault="00BD30B1" w:rsidP="00AB1C80">
            <w:pPr>
              <w:spacing w:line="276" w:lineRule="auto"/>
              <w:jc w:val="center"/>
              <w:rPr>
                <w:rFonts w:eastAsia="Times New Roman" w:cs="Arial"/>
                <w:b/>
                <w:bCs/>
                <w:color w:val="FFFFFF"/>
                <w:sz w:val="20"/>
                <w:szCs w:val="20"/>
                <w:lang w:eastAsia="es-CO"/>
              </w:rPr>
            </w:pPr>
            <w:r w:rsidRPr="00BD30B1">
              <w:rPr>
                <w:rFonts w:eastAsia="Times New Roman" w:cs="Arial"/>
                <w:b/>
                <w:bCs/>
                <w:color w:val="FFFFFF"/>
                <w:sz w:val="20"/>
                <w:szCs w:val="20"/>
                <w:lang w:eastAsia="es-CO"/>
              </w:rPr>
              <w:t>Nombre del Documento</w:t>
            </w:r>
          </w:p>
        </w:tc>
        <w:tc>
          <w:tcPr>
            <w:tcW w:w="1701" w:type="dxa"/>
            <w:tcBorders>
              <w:top w:val="single" w:sz="4" w:space="0" w:color="auto"/>
              <w:left w:val="nil"/>
              <w:bottom w:val="single" w:sz="4" w:space="0" w:color="auto"/>
              <w:right w:val="single" w:sz="4" w:space="0" w:color="auto"/>
            </w:tcBorders>
            <w:shd w:val="clear" w:color="1E345C" w:fill="1E345C"/>
            <w:vAlign w:val="center"/>
            <w:hideMark/>
          </w:tcPr>
          <w:p w14:paraId="4485BD96" w14:textId="77777777" w:rsidR="00BD30B1" w:rsidRPr="00BD30B1" w:rsidRDefault="00BD30B1" w:rsidP="00AB1C80">
            <w:pPr>
              <w:spacing w:line="276" w:lineRule="auto"/>
              <w:jc w:val="center"/>
              <w:rPr>
                <w:rFonts w:eastAsia="Times New Roman" w:cs="Arial"/>
                <w:b/>
                <w:bCs/>
                <w:color w:val="FFFFFF"/>
                <w:sz w:val="20"/>
                <w:szCs w:val="20"/>
                <w:lang w:eastAsia="es-CO"/>
              </w:rPr>
            </w:pPr>
            <w:r w:rsidRPr="00BD30B1">
              <w:rPr>
                <w:rFonts w:eastAsia="Times New Roman" w:cs="Arial"/>
                <w:b/>
                <w:bCs/>
                <w:color w:val="FFFFFF"/>
                <w:sz w:val="20"/>
                <w:szCs w:val="20"/>
                <w:lang w:eastAsia="es-CO"/>
              </w:rPr>
              <w:t>Autor(es)</w:t>
            </w:r>
          </w:p>
        </w:tc>
        <w:tc>
          <w:tcPr>
            <w:tcW w:w="1276" w:type="dxa"/>
            <w:tcBorders>
              <w:top w:val="single" w:sz="4" w:space="0" w:color="auto"/>
              <w:left w:val="nil"/>
              <w:bottom w:val="single" w:sz="4" w:space="0" w:color="auto"/>
              <w:right w:val="single" w:sz="4" w:space="0" w:color="auto"/>
            </w:tcBorders>
            <w:shd w:val="clear" w:color="1E345C" w:fill="1E345C"/>
            <w:vAlign w:val="center"/>
            <w:hideMark/>
          </w:tcPr>
          <w:p w14:paraId="59C6FCCE" w14:textId="77777777" w:rsidR="00BD30B1" w:rsidRPr="00BD30B1" w:rsidRDefault="00BD30B1" w:rsidP="00AB1C80">
            <w:pPr>
              <w:spacing w:line="276" w:lineRule="auto"/>
              <w:jc w:val="center"/>
              <w:rPr>
                <w:rFonts w:eastAsia="Times New Roman" w:cs="Arial"/>
                <w:b/>
                <w:bCs/>
                <w:color w:val="FFFFFF"/>
                <w:sz w:val="20"/>
                <w:szCs w:val="20"/>
                <w:lang w:eastAsia="es-CO"/>
              </w:rPr>
            </w:pPr>
            <w:r w:rsidRPr="00BD30B1">
              <w:rPr>
                <w:rFonts w:eastAsia="Times New Roman" w:cs="Arial"/>
                <w:b/>
                <w:bCs/>
                <w:color w:val="FFFFFF"/>
                <w:sz w:val="20"/>
                <w:szCs w:val="20"/>
                <w:lang w:eastAsia="es-CO"/>
              </w:rPr>
              <w:t>Año de Publicación</w:t>
            </w:r>
          </w:p>
        </w:tc>
        <w:tc>
          <w:tcPr>
            <w:tcW w:w="8646" w:type="dxa"/>
            <w:tcBorders>
              <w:top w:val="single" w:sz="4" w:space="0" w:color="auto"/>
              <w:left w:val="nil"/>
              <w:bottom w:val="single" w:sz="4" w:space="0" w:color="auto"/>
              <w:right w:val="single" w:sz="4" w:space="0" w:color="auto"/>
            </w:tcBorders>
            <w:shd w:val="clear" w:color="1E345C" w:fill="1E345C"/>
            <w:vAlign w:val="center"/>
            <w:hideMark/>
          </w:tcPr>
          <w:p w14:paraId="41DD5875" w14:textId="77777777" w:rsidR="00BD30B1" w:rsidRPr="00BD30B1" w:rsidRDefault="00BD30B1" w:rsidP="00AB1C80">
            <w:pPr>
              <w:spacing w:line="276" w:lineRule="auto"/>
              <w:jc w:val="center"/>
              <w:rPr>
                <w:rFonts w:eastAsia="Times New Roman" w:cs="Arial"/>
                <w:b/>
                <w:bCs/>
                <w:color w:val="FFFFFF"/>
                <w:sz w:val="20"/>
                <w:szCs w:val="20"/>
                <w:lang w:eastAsia="es-CO"/>
              </w:rPr>
            </w:pPr>
            <w:r w:rsidRPr="00BD30B1">
              <w:rPr>
                <w:rFonts w:eastAsia="Times New Roman" w:cs="Arial"/>
                <w:b/>
                <w:bCs/>
                <w:color w:val="FFFFFF"/>
                <w:sz w:val="20"/>
                <w:szCs w:val="20"/>
                <w:lang w:eastAsia="es-CO"/>
              </w:rPr>
              <w:t>Análisis, critica e interpretación</w:t>
            </w:r>
          </w:p>
        </w:tc>
      </w:tr>
      <w:tr w:rsidR="00AB1C80" w:rsidRPr="00AB1C80" w14:paraId="598275EA" w14:textId="77777777" w:rsidTr="00BD30B1">
        <w:trPr>
          <w:trHeight w:val="20"/>
          <w:jc w:val="center"/>
        </w:trPr>
        <w:tc>
          <w:tcPr>
            <w:tcW w:w="2547" w:type="dxa"/>
            <w:tcBorders>
              <w:top w:val="nil"/>
              <w:left w:val="single" w:sz="4" w:space="0" w:color="auto"/>
              <w:bottom w:val="single" w:sz="4" w:space="0" w:color="auto"/>
              <w:right w:val="single" w:sz="4" w:space="0" w:color="auto"/>
            </w:tcBorders>
            <w:shd w:val="clear" w:color="auto" w:fill="auto"/>
            <w:vAlign w:val="center"/>
            <w:hideMark/>
          </w:tcPr>
          <w:p w14:paraId="3EF364D7" w14:textId="77777777" w:rsidR="00BD30B1" w:rsidRPr="00BD30B1" w:rsidRDefault="00BD30B1" w:rsidP="00AB1C80">
            <w:pPr>
              <w:spacing w:line="276" w:lineRule="auto"/>
              <w:jc w:val="center"/>
              <w:rPr>
                <w:rFonts w:eastAsia="Times New Roman" w:cs="Arial"/>
                <w:color w:val="000000"/>
                <w:sz w:val="20"/>
                <w:szCs w:val="20"/>
                <w:lang w:eastAsia="es-CO"/>
              </w:rPr>
            </w:pPr>
            <w:r w:rsidRPr="00BD30B1">
              <w:rPr>
                <w:rFonts w:eastAsia="Times New Roman" w:cs="Arial"/>
                <w:color w:val="000000"/>
                <w:sz w:val="20"/>
                <w:szCs w:val="20"/>
                <w:lang w:eastAsia="es-CO"/>
              </w:rPr>
              <w:t xml:space="preserve">Activando la Economía Circular en Tiempos de Cambios </w:t>
            </w:r>
          </w:p>
        </w:tc>
        <w:tc>
          <w:tcPr>
            <w:tcW w:w="1701" w:type="dxa"/>
            <w:tcBorders>
              <w:top w:val="nil"/>
              <w:left w:val="nil"/>
              <w:bottom w:val="single" w:sz="4" w:space="0" w:color="auto"/>
              <w:right w:val="single" w:sz="4" w:space="0" w:color="auto"/>
            </w:tcBorders>
            <w:shd w:val="clear" w:color="auto" w:fill="auto"/>
            <w:vAlign w:val="center"/>
            <w:hideMark/>
          </w:tcPr>
          <w:p w14:paraId="1A707083" w14:textId="77777777" w:rsidR="00BD30B1" w:rsidRPr="00BD30B1" w:rsidRDefault="00BD30B1" w:rsidP="00AB1C80">
            <w:pPr>
              <w:spacing w:line="276" w:lineRule="auto"/>
              <w:jc w:val="center"/>
              <w:rPr>
                <w:rFonts w:eastAsia="Times New Roman" w:cs="Arial"/>
                <w:color w:val="000000"/>
                <w:sz w:val="20"/>
                <w:szCs w:val="20"/>
                <w:lang w:eastAsia="es-CO"/>
              </w:rPr>
            </w:pPr>
            <w:r w:rsidRPr="00BD30B1">
              <w:rPr>
                <w:rFonts w:eastAsia="Times New Roman" w:cs="Arial"/>
                <w:color w:val="000000"/>
                <w:sz w:val="20"/>
                <w:szCs w:val="20"/>
                <w:lang w:eastAsia="es-CO"/>
              </w:rPr>
              <w:t>Innpulsa, Circle Core, Emporium</w:t>
            </w:r>
          </w:p>
        </w:tc>
        <w:tc>
          <w:tcPr>
            <w:tcW w:w="1276" w:type="dxa"/>
            <w:tcBorders>
              <w:top w:val="nil"/>
              <w:left w:val="nil"/>
              <w:bottom w:val="single" w:sz="4" w:space="0" w:color="auto"/>
              <w:right w:val="single" w:sz="4" w:space="0" w:color="auto"/>
            </w:tcBorders>
            <w:shd w:val="clear" w:color="auto" w:fill="auto"/>
            <w:vAlign w:val="center"/>
            <w:hideMark/>
          </w:tcPr>
          <w:p w14:paraId="66991459" w14:textId="77777777" w:rsidR="00BD30B1" w:rsidRPr="00BD30B1" w:rsidRDefault="00BD30B1" w:rsidP="00AB1C80">
            <w:pPr>
              <w:spacing w:line="276" w:lineRule="auto"/>
              <w:jc w:val="center"/>
              <w:rPr>
                <w:rFonts w:eastAsia="Times New Roman" w:cs="Arial"/>
                <w:color w:val="000000"/>
                <w:sz w:val="20"/>
                <w:szCs w:val="20"/>
                <w:lang w:eastAsia="es-CO"/>
              </w:rPr>
            </w:pPr>
            <w:r w:rsidRPr="00BD30B1">
              <w:rPr>
                <w:rFonts w:eastAsia="Times New Roman" w:cs="Arial"/>
                <w:color w:val="000000"/>
                <w:sz w:val="20"/>
                <w:szCs w:val="20"/>
                <w:lang w:eastAsia="es-CO"/>
              </w:rPr>
              <w:t>2020</w:t>
            </w:r>
          </w:p>
        </w:tc>
        <w:tc>
          <w:tcPr>
            <w:tcW w:w="8646" w:type="dxa"/>
            <w:tcBorders>
              <w:top w:val="nil"/>
              <w:left w:val="nil"/>
              <w:bottom w:val="single" w:sz="4" w:space="0" w:color="auto"/>
              <w:right w:val="single" w:sz="4" w:space="0" w:color="auto"/>
            </w:tcBorders>
            <w:shd w:val="clear" w:color="auto" w:fill="auto"/>
            <w:vAlign w:val="center"/>
            <w:hideMark/>
          </w:tcPr>
          <w:p w14:paraId="19AE9478" w14:textId="77777777" w:rsidR="00BD30B1" w:rsidRPr="00BD30B1" w:rsidRDefault="00BD30B1" w:rsidP="00AB1C80">
            <w:pPr>
              <w:spacing w:line="276" w:lineRule="auto"/>
              <w:jc w:val="center"/>
              <w:rPr>
                <w:rFonts w:eastAsia="Times New Roman" w:cs="Arial"/>
                <w:sz w:val="20"/>
                <w:szCs w:val="20"/>
                <w:lang w:eastAsia="es-CO"/>
              </w:rPr>
            </w:pPr>
            <w:r w:rsidRPr="00BD30B1">
              <w:rPr>
                <w:rFonts w:eastAsia="Times New Roman" w:cs="Arial"/>
                <w:sz w:val="20"/>
                <w:szCs w:val="20"/>
                <w:lang w:eastAsia="es-CO"/>
              </w:rPr>
              <w:t xml:space="preserve">1. El objetivo del programa “Activando la economía circular en tiempos de cambio” es promover emprendimientos e innovaciones y la construcción de redes operativas para la generación de valor desde la Economía Circular. </w:t>
            </w:r>
            <w:r w:rsidRPr="00BD30B1">
              <w:rPr>
                <w:rFonts w:eastAsia="Times New Roman" w:cs="Arial"/>
                <w:sz w:val="20"/>
                <w:szCs w:val="20"/>
                <w:lang w:eastAsia="es-CO"/>
              </w:rPr>
              <w:br/>
            </w:r>
            <w:r w:rsidRPr="00BD30B1">
              <w:rPr>
                <w:rFonts w:eastAsia="Times New Roman" w:cs="Arial"/>
                <w:sz w:val="20"/>
                <w:szCs w:val="20"/>
                <w:lang w:eastAsia="es-CO"/>
              </w:rPr>
              <w:br/>
              <w:t>2. Las metas del programa “Activando la economía circular en tiempos de cambio” se listan a continuación, y permiten:</w:t>
            </w:r>
            <w:r w:rsidRPr="00BD30B1">
              <w:rPr>
                <w:rFonts w:eastAsia="Times New Roman" w:cs="Arial"/>
                <w:sz w:val="20"/>
                <w:szCs w:val="20"/>
                <w:lang w:eastAsia="es-CO"/>
              </w:rPr>
              <w:br/>
            </w:r>
            <w:r w:rsidRPr="00BD30B1">
              <w:rPr>
                <w:rFonts w:eastAsia="Times New Roman" w:cs="Arial"/>
                <w:sz w:val="20"/>
                <w:szCs w:val="20"/>
                <w:lang w:eastAsia="es-CO"/>
              </w:rPr>
              <w:br/>
              <w:t>a) Consolidar el conocimiento para comprender el funcionamiento de la economía circular y así visualizar posibles estrategias de trasformación del ciclo de vida de un producto o servicio</w:t>
            </w:r>
            <w:r w:rsidRPr="00BD30B1">
              <w:rPr>
                <w:rFonts w:eastAsia="Times New Roman" w:cs="Arial"/>
                <w:sz w:val="20"/>
                <w:szCs w:val="20"/>
                <w:lang w:eastAsia="es-CO"/>
              </w:rPr>
              <w:br/>
              <w:t>b) Identificar las iniciativas de circularidad</w:t>
            </w:r>
            <w:r w:rsidRPr="00BD30B1">
              <w:rPr>
                <w:rFonts w:eastAsia="Times New Roman" w:cs="Arial"/>
                <w:sz w:val="20"/>
                <w:szCs w:val="20"/>
                <w:lang w:eastAsia="es-CO"/>
              </w:rPr>
              <w:br/>
              <w:t>c) Construir redes funcionales en cada región interesadas en la economía circular</w:t>
            </w:r>
            <w:r w:rsidRPr="00BD30B1">
              <w:rPr>
                <w:rFonts w:eastAsia="Times New Roman" w:cs="Arial"/>
                <w:sz w:val="20"/>
                <w:szCs w:val="20"/>
                <w:lang w:eastAsia="es-CO"/>
              </w:rPr>
              <w:br/>
              <w:t>d) Mapear el tejido empresarial a nivel regional donde se busque encontrar pares con una misma visión</w:t>
            </w:r>
            <w:r w:rsidRPr="00BD30B1">
              <w:rPr>
                <w:rFonts w:eastAsia="Times New Roman" w:cs="Arial"/>
                <w:sz w:val="20"/>
                <w:szCs w:val="20"/>
                <w:lang w:eastAsia="es-CO"/>
              </w:rPr>
              <w:br/>
              <w:t>e) Reactivar modelos de negocio en el marco de los retos e ímpetus de la economía circular</w:t>
            </w:r>
            <w:r w:rsidRPr="00BD30B1">
              <w:rPr>
                <w:rFonts w:eastAsia="Times New Roman" w:cs="Arial"/>
                <w:sz w:val="20"/>
                <w:szCs w:val="20"/>
                <w:lang w:eastAsia="es-CO"/>
              </w:rPr>
              <w:br/>
              <w:t>f) Desarrollar sistemas de monitoreo que ofrezcan transparencia e interacción entre los diferentes actores del proceso</w:t>
            </w:r>
            <w:r w:rsidRPr="00BD30B1">
              <w:rPr>
                <w:rFonts w:eastAsia="Times New Roman" w:cs="Arial"/>
                <w:sz w:val="20"/>
                <w:szCs w:val="20"/>
                <w:lang w:eastAsia="es-CO"/>
              </w:rPr>
              <w:br/>
            </w:r>
            <w:r w:rsidRPr="00BD30B1">
              <w:rPr>
                <w:rFonts w:eastAsia="Times New Roman" w:cs="Arial"/>
                <w:sz w:val="20"/>
                <w:szCs w:val="20"/>
                <w:lang w:eastAsia="es-CO"/>
              </w:rPr>
              <w:br/>
              <w:t>3. La metodología utilizada para promover la economía circular en el marco del programa planteado es:</w:t>
            </w:r>
            <w:r w:rsidRPr="00BD30B1">
              <w:rPr>
                <w:rFonts w:eastAsia="Times New Roman" w:cs="Arial"/>
                <w:sz w:val="20"/>
                <w:szCs w:val="20"/>
                <w:lang w:eastAsia="es-CO"/>
              </w:rPr>
              <w:br/>
            </w:r>
            <w:r w:rsidRPr="00BD30B1">
              <w:rPr>
                <w:rFonts w:eastAsia="Times New Roman" w:cs="Arial"/>
                <w:sz w:val="20"/>
                <w:szCs w:val="20"/>
                <w:lang w:eastAsia="es-CO"/>
              </w:rPr>
              <w:br/>
              <w:t>a) Asimilar el modelo de economía circular</w:t>
            </w:r>
            <w:r w:rsidRPr="00BD30B1">
              <w:rPr>
                <w:rFonts w:eastAsia="Times New Roman" w:cs="Arial"/>
                <w:sz w:val="20"/>
                <w:szCs w:val="20"/>
                <w:lang w:eastAsia="es-CO"/>
              </w:rPr>
              <w:br/>
            </w:r>
            <w:r w:rsidRPr="00BD30B1">
              <w:rPr>
                <w:rFonts w:eastAsia="Times New Roman" w:cs="Arial"/>
                <w:sz w:val="20"/>
                <w:szCs w:val="20"/>
                <w:lang w:eastAsia="es-CO"/>
              </w:rPr>
              <w:lastRenderedPageBreak/>
              <w:t xml:space="preserve">b) Definir cómo se puede aplicar la economía circular en los productos o servicios </w:t>
            </w:r>
            <w:r w:rsidRPr="00BD30B1">
              <w:rPr>
                <w:rFonts w:eastAsia="Times New Roman" w:cs="Arial"/>
                <w:sz w:val="20"/>
                <w:szCs w:val="20"/>
                <w:lang w:eastAsia="es-CO"/>
              </w:rPr>
              <w:br/>
              <w:t>c) Catalogar las empresas y redes por región que estén interesados en la economía circular</w:t>
            </w:r>
            <w:r w:rsidRPr="00BD30B1">
              <w:rPr>
                <w:rFonts w:eastAsia="Times New Roman" w:cs="Arial"/>
                <w:sz w:val="20"/>
                <w:szCs w:val="20"/>
                <w:lang w:eastAsia="es-CO"/>
              </w:rPr>
              <w:br/>
              <w:t>d) Adquirir las competencias necesarias para construir modelos de economía circular</w:t>
            </w:r>
            <w:r w:rsidRPr="00BD30B1">
              <w:rPr>
                <w:rFonts w:eastAsia="Times New Roman" w:cs="Arial"/>
                <w:sz w:val="20"/>
                <w:szCs w:val="20"/>
                <w:lang w:eastAsia="es-CO"/>
              </w:rPr>
              <w:br/>
              <w:t>e) Trazar la hoja de ruta para la activación, fortaleciendo las iniciativas de las empresas.</w:t>
            </w:r>
          </w:p>
        </w:tc>
      </w:tr>
    </w:tbl>
    <w:p w14:paraId="1A603DDF" w14:textId="26A43DCD" w:rsidR="00F02581" w:rsidRPr="00AB1C80" w:rsidRDefault="00F02581" w:rsidP="00AB1C80">
      <w:pPr>
        <w:pStyle w:val="Fuente"/>
        <w:spacing w:line="276" w:lineRule="auto"/>
        <w:rPr>
          <w:rFonts w:cs="Arial"/>
          <w:lang w:val="es-CO"/>
        </w:rPr>
      </w:pPr>
      <w:r w:rsidRPr="00AB1C80">
        <w:rPr>
          <w:rFonts w:cs="Arial"/>
          <w:lang w:val="es-CO"/>
        </w:rPr>
        <w:lastRenderedPageBreak/>
        <w:t>Fuente: ATG Ltda., 2021.</w:t>
      </w:r>
    </w:p>
    <w:p w14:paraId="1D9EE207" w14:textId="77777777" w:rsidR="00F02581" w:rsidRPr="00AB1C80" w:rsidRDefault="00F02581" w:rsidP="00AB1C80">
      <w:pPr>
        <w:spacing w:line="276" w:lineRule="auto"/>
        <w:jc w:val="center"/>
        <w:rPr>
          <w:rFonts w:cs="Arial"/>
        </w:rPr>
      </w:pPr>
    </w:p>
    <w:p w14:paraId="7485A90D" w14:textId="3A4BFDD2" w:rsidR="00EC1D7A" w:rsidRPr="00AB1C80" w:rsidRDefault="00EC1D7A" w:rsidP="00AB1C80">
      <w:pPr>
        <w:pStyle w:val="Descripcin"/>
        <w:spacing w:line="276" w:lineRule="auto"/>
        <w:rPr>
          <w:rFonts w:cs="Arial"/>
          <w:lang w:val="es-CO"/>
        </w:rPr>
      </w:pPr>
      <w:bookmarkStart w:id="100" w:name="_Ref86256777"/>
      <w:bookmarkStart w:id="101" w:name="_Toc86333029"/>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24</w:t>
      </w:r>
      <w:r w:rsidRPr="00AB1C80">
        <w:rPr>
          <w:rFonts w:cs="Arial"/>
          <w:lang w:val="es-CO"/>
        </w:rPr>
        <w:fldChar w:fldCharType="end"/>
      </w:r>
      <w:bookmarkEnd w:id="100"/>
      <w:r w:rsidRPr="00AB1C80">
        <w:rPr>
          <w:rFonts w:cs="Arial"/>
          <w:lang w:val="es-CO"/>
        </w:rPr>
        <w:t xml:space="preserve">. Revisión de información nacional por tesis para </w:t>
      </w:r>
      <w:r w:rsidR="00443CDB" w:rsidRPr="00AB1C80">
        <w:rPr>
          <w:rFonts w:cs="Arial"/>
          <w:lang w:val="es-CO"/>
        </w:rPr>
        <w:t>economía circular</w:t>
      </w:r>
      <w:r w:rsidRPr="00AB1C80">
        <w:rPr>
          <w:rFonts w:cs="Arial"/>
          <w:lang w:val="es-CO"/>
        </w:rPr>
        <w:t>.</w:t>
      </w:r>
      <w:bookmarkEnd w:id="101"/>
    </w:p>
    <w:tbl>
      <w:tblPr>
        <w:tblW w:w="14170" w:type="dxa"/>
        <w:jc w:val="center"/>
        <w:tblCellMar>
          <w:left w:w="0" w:type="dxa"/>
          <w:right w:w="0" w:type="dxa"/>
        </w:tblCellMar>
        <w:tblLook w:val="04A0" w:firstRow="1" w:lastRow="0" w:firstColumn="1" w:lastColumn="0" w:noHBand="0" w:noVBand="1"/>
      </w:tblPr>
      <w:tblGrid>
        <w:gridCol w:w="2547"/>
        <w:gridCol w:w="1701"/>
        <w:gridCol w:w="1276"/>
        <w:gridCol w:w="8646"/>
      </w:tblGrid>
      <w:tr w:rsidR="00BD30B1" w:rsidRPr="00AB1C80" w14:paraId="51116504" w14:textId="77777777" w:rsidTr="00BD30B1">
        <w:trPr>
          <w:trHeight w:val="20"/>
          <w:jc w:val="center"/>
        </w:trPr>
        <w:tc>
          <w:tcPr>
            <w:tcW w:w="2547"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45B3AC16" w14:textId="77777777" w:rsidR="00BD30B1" w:rsidRPr="00AB1C80" w:rsidRDefault="00BD30B1"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701"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18DD9326" w14:textId="77777777" w:rsidR="00BD30B1" w:rsidRPr="00AB1C80" w:rsidRDefault="00BD30B1"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27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0762D367" w14:textId="77777777" w:rsidR="00BD30B1" w:rsidRPr="00AB1C80" w:rsidRDefault="00BD30B1"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864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7554CB8A" w14:textId="77777777" w:rsidR="00BD30B1" w:rsidRPr="00AB1C80" w:rsidRDefault="00BD30B1"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BD30B1" w:rsidRPr="00AB1C80" w14:paraId="78E65301" w14:textId="77777777" w:rsidTr="00BD30B1">
        <w:trPr>
          <w:trHeight w:val="20"/>
          <w:jc w:val="center"/>
        </w:trPr>
        <w:tc>
          <w:tcPr>
            <w:tcW w:w="2547"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35D3C45" w14:textId="77777777" w:rsidR="00BD30B1" w:rsidRPr="00AB1C80" w:rsidRDefault="00BD30B1" w:rsidP="00AB1C80">
            <w:pPr>
              <w:spacing w:line="276" w:lineRule="auto"/>
              <w:jc w:val="center"/>
              <w:rPr>
                <w:rFonts w:cs="Arial"/>
                <w:color w:val="000000"/>
                <w:sz w:val="20"/>
                <w:szCs w:val="20"/>
              </w:rPr>
            </w:pPr>
            <w:r w:rsidRPr="00AB1C80">
              <w:rPr>
                <w:rFonts w:cs="Arial"/>
                <w:color w:val="000000"/>
                <w:sz w:val="20"/>
                <w:szCs w:val="20"/>
              </w:rPr>
              <w:t>Economía Circular: Crecimiento Inteligente, Sostenible e Integrador</w:t>
            </w:r>
          </w:p>
        </w:tc>
        <w:tc>
          <w:tcPr>
            <w:tcW w:w="1701"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ADDF989" w14:textId="77777777" w:rsidR="00BD30B1" w:rsidRPr="00AB1C80" w:rsidRDefault="00BD30B1" w:rsidP="00AB1C80">
            <w:pPr>
              <w:spacing w:line="276" w:lineRule="auto"/>
              <w:jc w:val="center"/>
              <w:rPr>
                <w:rFonts w:cs="Arial"/>
                <w:color w:val="000000"/>
                <w:sz w:val="20"/>
                <w:szCs w:val="20"/>
              </w:rPr>
            </w:pPr>
            <w:r w:rsidRPr="00AB1C80">
              <w:rPr>
                <w:rFonts w:cs="Arial"/>
                <w:color w:val="000000"/>
                <w:sz w:val="20"/>
                <w:szCs w:val="20"/>
              </w:rPr>
              <w:t>Angie Yuliana Moreno González</w:t>
            </w:r>
          </w:p>
        </w:tc>
        <w:tc>
          <w:tcPr>
            <w:tcW w:w="12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0BAC7C6" w14:textId="77777777" w:rsidR="00BD30B1" w:rsidRPr="00AB1C80" w:rsidRDefault="00BD30B1" w:rsidP="00AB1C80">
            <w:pPr>
              <w:spacing w:line="276" w:lineRule="auto"/>
              <w:jc w:val="center"/>
              <w:rPr>
                <w:rFonts w:cs="Arial"/>
                <w:color w:val="000000"/>
                <w:sz w:val="20"/>
                <w:szCs w:val="20"/>
              </w:rPr>
            </w:pPr>
            <w:r w:rsidRPr="00AB1C80">
              <w:rPr>
                <w:rFonts w:cs="Arial"/>
                <w:color w:val="000000"/>
                <w:sz w:val="20"/>
                <w:szCs w:val="20"/>
              </w:rPr>
              <w:t>2018</w:t>
            </w:r>
          </w:p>
        </w:tc>
        <w:tc>
          <w:tcPr>
            <w:tcW w:w="864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88EC9F3" w14:textId="77777777" w:rsidR="00BD30B1" w:rsidRPr="00AB1C80" w:rsidRDefault="00BD30B1" w:rsidP="00AB1C80">
            <w:pPr>
              <w:spacing w:line="276" w:lineRule="auto"/>
              <w:jc w:val="center"/>
              <w:rPr>
                <w:rFonts w:cs="Arial"/>
                <w:sz w:val="20"/>
                <w:szCs w:val="20"/>
              </w:rPr>
            </w:pPr>
            <w:r w:rsidRPr="00AB1C80">
              <w:rPr>
                <w:rFonts w:cs="Arial"/>
                <w:sz w:val="20"/>
                <w:szCs w:val="20"/>
              </w:rPr>
              <w:t>1. El modelo de economía circular es una estrategia rentable y sostenible, donde se busca reducir a cero los residuos generados en los productos; donde se incorpora un valor agregado al producto mejorando así la competitividad de este en el mercado.</w:t>
            </w:r>
            <w:r w:rsidRPr="00AB1C80">
              <w:rPr>
                <w:rFonts w:cs="Arial"/>
                <w:sz w:val="20"/>
                <w:szCs w:val="20"/>
              </w:rPr>
              <w:br/>
            </w:r>
            <w:r w:rsidRPr="00AB1C80">
              <w:rPr>
                <w:rFonts w:cs="Arial"/>
                <w:sz w:val="20"/>
                <w:szCs w:val="20"/>
              </w:rPr>
              <w:br/>
              <w:t>2. El crecimiento sostenible en el país es una oportunidad para mejorar la eficiencia y productividad de la economía, así como la conservación ambiental y la adaptación al cambio climático. Para ello se deben diseñar e implementar políticas claras donde las empresas colombianas puedan realizar cambios en las fases de sistema desde el modelo de negocio y de gestión hacia la sostenibilidad y responsabilidades del producto buscando así industrias limpias que optimicen el residuo.</w:t>
            </w:r>
          </w:p>
        </w:tc>
      </w:tr>
    </w:tbl>
    <w:p w14:paraId="46B34CFC" w14:textId="370B4480" w:rsidR="00EC1D7A" w:rsidRPr="00AB1C80" w:rsidRDefault="00BD30B1" w:rsidP="00AB1C80">
      <w:pPr>
        <w:pStyle w:val="Fuente"/>
        <w:spacing w:line="276" w:lineRule="auto"/>
        <w:rPr>
          <w:rFonts w:cs="Arial"/>
          <w:lang w:val="es-CO"/>
        </w:rPr>
      </w:pPr>
      <w:r w:rsidRPr="00AB1C80">
        <w:rPr>
          <w:rFonts w:cs="Arial"/>
          <w:lang w:val="es-CO"/>
        </w:rPr>
        <w:t xml:space="preserve"> </w:t>
      </w:r>
      <w:r w:rsidR="00EC1D7A" w:rsidRPr="00AB1C80">
        <w:rPr>
          <w:rFonts w:cs="Arial"/>
          <w:lang w:val="es-CO"/>
        </w:rPr>
        <w:t>Fuente: ATG Ltda., 2021.</w:t>
      </w:r>
    </w:p>
    <w:p w14:paraId="4C39C842" w14:textId="77777777" w:rsidR="00EC1D7A" w:rsidRPr="00AB1C80" w:rsidRDefault="00EC1D7A" w:rsidP="00AB1C80">
      <w:pPr>
        <w:spacing w:line="276" w:lineRule="auto"/>
        <w:rPr>
          <w:rFonts w:cs="Arial"/>
          <w:color w:val="000000" w:themeColor="text1"/>
        </w:rPr>
      </w:pPr>
    </w:p>
    <w:p w14:paraId="069357B0" w14:textId="2D024C67" w:rsidR="00EC1D7A" w:rsidRPr="00AB1C80" w:rsidRDefault="00EC1D7A" w:rsidP="00AB1C80">
      <w:pPr>
        <w:spacing w:line="276" w:lineRule="auto"/>
        <w:rPr>
          <w:rFonts w:cs="Arial"/>
          <w:color w:val="000000" w:themeColor="text1"/>
        </w:rPr>
        <w:sectPr w:rsidR="00EC1D7A" w:rsidRPr="00AB1C80" w:rsidSect="00A85AC9">
          <w:pgSz w:w="15840" w:h="12240" w:orient="landscape"/>
          <w:pgMar w:top="1701" w:right="1418" w:bottom="1701" w:left="1418" w:header="709" w:footer="709" w:gutter="0"/>
          <w:cols w:space="708"/>
          <w:docGrid w:linePitch="360"/>
        </w:sectPr>
      </w:pPr>
    </w:p>
    <w:p w14:paraId="200E9856" w14:textId="77777777" w:rsidR="00DE2BF8" w:rsidRPr="00AB1C80" w:rsidRDefault="00DE2BF8" w:rsidP="00AB1C80">
      <w:pPr>
        <w:pStyle w:val="Ttulo4"/>
        <w:spacing w:line="276" w:lineRule="auto"/>
        <w:rPr>
          <w:rFonts w:ascii="Arial" w:hAnsi="Arial"/>
        </w:rPr>
      </w:pPr>
      <w:bookmarkStart w:id="102" w:name="_Toc86332932"/>
      <w:r w:rsidRPr="00AB1C80">
        <w:rPr>
          <w:rFonts w:ascii="Arial" w:hAnsi="Arial"/>
        </w:rPr>
        <w:lastRenderedPageBreak/>
        <w:t>Análisis de la temática</w:t>
      </w:r>
      <w:bookmarkEnd w:id="102"/>
      <w:r w:rsidRPr="00AB1C80">
        <w:rPr>
          <w:rFonts w:ascii="Arial" w:hAnsi="Arial"/>
        </w:rPr>
        <w:t xml:space="preserve"> </w:t>
      </w:r>
    </w:p>
    <w:p w14:paraId="5DC13EB3" w14:textId="77777777" w:rsidR="00DE2BF8" w:rsidRPr="00AB1C80" w:rsidRDefault="00DE2BF8" w:rsidP="00AB1C80">
      <w:pPr>
        <w:spacing w:line="276" w:lineRule="auto"/>
        <w:rPr>
          <w:rFonts w:cs="Arial"/>
          <w:color w:val="000000" w:themeColor="text1"/>
          <w:szCs w:val="24"/>
          <w:u w:val="single"/>
        </w:rPr>
      </w:pPr>
    </w:p>
    <w:p w14:paraId="5F8F7417" w14:textId="1095CC09" w:rsidR="00FA5A19" w:rsidRPr="00AB1C80" w:rsidRDefault="00CB0652" w:rsidP="00AB1C80">
      <w:pPr>
        <w:spacing w:line="276" w:lineRule="auto"/>
        <w:rPr>
          <w:rFonts w:cs="Arial"/>
          <w:color w:val="000000" w:themeColor="text1"/>
          <w:szCs w:val="24"/>
        </w:rPr>
      </w:pPr>
      <w:r w:rsidRPr="00AB1C80">
        <w:rPr>
          <w:rFonts w:cs="Arial"/>
          <w:color w:val="000000" w:themeColor="text1"/>
          <w:szCs w:val="24"/>
          <w:u w:val="single"/>
        </w:rPr>
        <w:t>La Unidad de Planeación Minero Energética</w:t>
      </w:r>
      <w:r w:rsidR="00FA5A19" w:rsidRPr="00AB1C80">
        <w:rPr>
          <w:rFonts w:cs="Arial"/>
          <w:color w:val="000000" w:themeColor="text1"/>
          <w:szCs w:val="24"/>
          <w:u w:val="single"/>
        </w:rPr>
        <w:t>-</w:t>
      </w:r>
      <w:r w:rsidRPr="00AB1C80">
        <w:rPr>
          <w:rFonts w:cs="Arial"/>
          <w:color w:val="000000" w:themeColor="text1"/>
          <w:szCs w:val="24"/>
          <w:u w:val="single"/>
        </w:rPr>
        <w:t xml:space="preserve"> UPME y la Universidad Industrial de Santander</w:t>
      </w:r>
      <w:r w:rsidR="00FA5A19" w:rsidRPr="00AB1C80">
        <w:rPr>
          <w:rFonts w:cs="Arial"/>
          <w:color w:val="000000" w:themeColor="text1"/>
          <w:szCs w:val="24"/>
          <w:u w:val="single"/>
        </w:rPr>
        <w:t xml:space="preserve">- </w:t>
      </w:r>
      <w:r w:rsidRPr="00AB1C80">
        <w:rPr>
          <w:rFonts w:cs="Arial"/>
          <w:color w:val="000000" w:themeColor="text1"/>
          <w:szCs w:val="24"/>
          <w:u w:val="single"/>
        </w:rPr>
        <w:t>UIS</w:t>
      </w:r>
      <w:r w:rsidR="0017479B" w:rsidRPr="00AB1C80">
        <w:rPr>
          <w:rFonts w:cs="Arial"/>
          <w:color w:val="000000" w:themeColor="text1"/>
          <w:szCs w:val="24"/>
          <w:u w:val="single"/>
        </w:rPr>
        <w:t xml:space="preserve"> en el año 2018</w:t>
      </w:r>
      <w:r w:rsidR="0017479B" w:rsidRPr="00AB1C80">
        <w:rPr>
          <w:rFonts w:cs="Arial"/>
          <w:color w:val="000000" w:themeColor="text1"/>
          <w:szCs w:val="24"/>
        </w:rPr>
        <w:t>,</w:t>
      </w:r>
      <w:r w:rsidR="00FA5A19" w:rsidRPr="00AB1C80">
        <w:rPr>
          <w:rFonts w:cs="Arial"/>
          <w:color w:val="000000" w:themeColor="text1"/>
          <w:szCs w:val="24"/>
        </w:rPr>
        <w:t xml:space="preserve"> celebraron el Contrato Interadministrativo 049 cuyo alcance fue ‘</w:t>
      </w:r>
      <w:r w:rsidR="00FA5A19" w:rsidRPr="00AB1C80">
        <w:rPr>
          <w:rFonts w:cs="Arial"/>
          <w:i/>
          <w:iCs/>
          <w:color w:val="000000" w:themeColor="text1"/>
          <w:szCs w:val="24"/>
        </w:rPr>
        <w:t>Realizar un análisis del potencial de reutilización de minerales en Colombia y definir estrategias orientadas a fomentar su aprovechamiento por parte de la industria en el país bajo el enfoque de economía circular’</w:t>
      </w:r>
      <w:r w:rsidR="00FA5A19" w:rsidRPr="00AB1C80">
        <w:rPr>
          <w:rFonts w:cs="Arial"/>
          <w:color w:val="000000" w:themeColor="text1"/>
          <w:szCs w:val="24"/>
        </w:rPr>
        <w:t xml:space="preserve">, el cual surgió con el fin de evaluar una mayor utilidad en el aprovechamiento y reutilización de los minerales y metales, enmarcados en el modelo de economía circular el cual está tomando fuerza debido a la combinación de los siguientes factores: </w:t>
      </w:r>
    </w:p>
    <w:p w14:paraId="5A204238" w14:textId="77777777" w:rsidR="00FA5A19" w:rsidRPr="00AB1C80" w:rsidRDefault="00FA5A19" w:rsidP="00AB1C80">
      <w:pPr>
        <w:spacing w:line="276" w:lineRule="auto"/>
        <w:rPr>
          <w:rFonts w:cs="Arial"/>
          <w:color w:val="000000" w:themeColor="text1"/>
          <w:szCs w:val="24"/>
        </w:rPr>
      </w:pPr>
    </w:p>
    <w:p w14:paraId="7A73B72C" w14:textId="77777777" w:rsidR="00FA5A19" w:rsidRPr="00AB1C80" w:rsidRDefault="00FA5A19" w:rsidP="00AB1C80">
      <w:pPr>
        <w:pStyle w:val="Prrafodelista"/>
        <w:numPr>
          <w:ilvl w:val="0"/>
          <w:numId w:val="4"/>
        </w:numPr>
        <w:spacing w:line="276" w:lineRule="auto"/>
        <w:rPr>
          <w:rFonts w:cs="Arial"/>
          <w:color w:val="000000" w:themeColor="text1"/>
          <w:szCs w:val="24"/>
        </w:rPr>
      </w:pPr>
      <w:r w:rsidRPr="00AB1C80">
        <w:rPr>
          <w:rFonts w:cs="Arial"/>
          <w:color w:val="000000" w:themeColor="text1"/>
          <w:szCs w:val="24"/>
        </w:rPr>
        <w:t>Crecimiento continuo y previsto de la demanda de metales y minerales, jalonado por el crecimiento económico, al unísono con la disminución gradual de las leyes de los minerales metálicos a medida que se extraen los depósitos más ricos.</w:t>
      </w:r>
    </w:p>
    <w:p w14:paraId="14582E7B" w14:textId="117318E9" w:rsidR="00FA5A19" w:rsidRPr="00AB1C80" w:rsidRDefault="00FA5A19" w:rsidP="00AB1C80">
      <w:pPr>
        <w:pStyle w:val="Prrafodelista"/>
        <w:numPr>
          <w:ilvl w:val="0"/>
          <w:numId w:val="4"/>
        </w:numPr>
        <w:spacing w:line="276" w:lineRule="auto"/>
        <w:rPr>
          <w:rFonts w:cs="Arial"/>
          <w:color w:val="000000" w:themeColor="text1"/>
          <w:szCs w:val="24"/>
        </w:rPr>
      </w:pPr>
      <w:r w:rsidRPr="00AB1C80">
        <w:rPr>
          <w:rFonts w:cs="Arial"/>
          <w:color w:val="000000" w:themeColor="text1"/>
          <w:szCs w:val="24"/>
        </w:rPr>
        <w:t>Costos cada vez más altos para la eliminación de desechos en todo el mundo</w:t>
      </w:r>
      <w:r w:rsidR="000073F7" w:rsidRPr="00AB1C80">
        <w:rPr>
          <w:rFonts w:cs="Arial"/>
          <w:color w:val="000000" w:themeColor="text1"/>
          <w:szCs w:val="24"/>
        </w:rPr>
        <w:t>.</w:t>
      </w:r>
    </w:p>
    <w:p w14:paraId="1F4CAFDA" w14:textId="26D61684" w:rsidR="00FA5A19" w:rsidRPr="00AB1C80" w:rsidRDefault="00FA5A19" w:rsidP="00AB1C80">
      <w:pPr>
        <w:pStyle w:val="Prrafodelista"/>
        <w:numPr>
          <w:ilvl w:val="0"/>
          <w:numId w:val="4"/>
        </w:numPr>
        <w:spacing w:line="276" w:lineRule="auto"/>
        <w:rPr>
          <w:rFonts w:cs="Arial"/>
          <w:color w:val="000000" w:themeColor="text1"/>
          <w:szCs w:val="24"/>
        </w:rPr>
      </w:pPr>
      <w:r w:rsidRPr="00AB1C80">
        <w:rPr>
          <w:rFonts w:cs="Arial"/>
          <w:color w:val="000000" w:themeColor="text1"/>
          <w:szCs w:val="24"/>
        </w:rPr>
        <w:t>Mejoras significativas en las tecnologías de reciclado coadyuvado por las herramientas informáticas cada vez más especializadas y sofisticadas. Esto hará que el reciclaje sea más eficiente y menos costoso; prácticas mineras cada vez más sostenibles, con</w:t>
      </w:r>
      <w:r w:rsidR="009B0FDE" w:rsidRPr="00AB1C80">
        <w:rPr>
          <w:rFonts w:cs="Arial"/>
          <w:color w:val="000000" w:themeColor="text1"/>
          <w:szCs w:val="24"/>
        </w:rPr>
        <w:t xml:space="preserve"> menores consumos de energía y emisiones de gases de efecto invernadero. </w:t>
      </w:r>
    </w:p>
    <w:p w14:paraId="7DC558C0" w14:textId="444BC607" w:rsidR="00CB0652" w:rsidRPr="00AB1C80" w:rsidRDefault="00CB0652" w:rsidP="00AB1C80">
      <w:pPr>
        <w:spacing w:line="276" w:lineRule="auto"/>
        <w:rPr>
          <w:rFonts w:cs="Arial"/>
          <w:color w:val="000000" w:themeColor="text1"/>
          <w:szCs w:val="24"/>
        </w:rPr>
      </w:pPr>
    </w:p>
    <w:p w14:paraId="29F8D775" w14:textId="5590F24D" w:rsidR="00370BE0" w:rsidRPr="00AB1C80" w:rsidRDefault="00370BE0" w:rsidP="00AB1C80">
      <w:pPr>
        <w:spacing w:line="276" w:lineRule="auto"/>
        <w:rPr>
          <w:rFonts w:cs="Arial"/>
          <w:color w:val="000000" w:themeColor="text1"/>
          <w:szCs w:val="24"/>
        </w:rPr>
      </w:pPr>
      <w:r w:rsidRPr="00AB1C80">
        <w:rPr>
          <w:rFonts w:cs="Arial"/>
          <w:color w:val="000000" w:themeColor="text1"/>
          <w:szCs w:val="24"/>
        </w:rPr>
        <w:t>En la actualidad el sector minero genera gran cantidad de residuos por parte de la extracción de minerales, como son los relaves, estos residuos son una mezcla de rocas molidas, agua y minerales de ganga. A los relaves se les está dando gran importancia, ya que el uso indiscriminado durante años de extracción de minerales ha generado diversos problemas ambientales, principalmente en el agua y el suelo, debido a que estos contienen trazas de metales pesados como el arsénico, mercurio, plomo, cadmio que afectan al ambiente y al ser humano</w:t>
      </w:r>
      <w:r w:rsidRPr="00AB1C80">
        <w:rPr>
          <w:rStyle w:val="Refdenotaalpie"/>
          <w:rFonts w:cs="Arial"/>
          <w:color w:val="000000" w:themeColor="text1"/>
          <w:szCs w:val="24"/>
        </w:rPr>
        <w:footnoteReference w:id="43"/>
      </w:r>
      <w:r w:rsidRPr="00AB1C80">
        <w:rPr>
          <w:rFonts w:cs="Arial"/>
          <w:color w:val="000000" w:themeColor="text1"/>
          <w:szCs w:val="24"/>
        </w:rPr>
        <w:t>.</w:t>
      </w:r>
    </w:p>
    <w:p w14:paraId="16EC2C3A" w14:textId="34AC6903" w:rsidR="00370BE0" w:rsidRPr="00AB1C80" w:rsidRDefault="00370BE0" w:rsidP="00AB1C80">
      <w:pPr>
        <w:spacing w:line="276" w:lineRule="auto"/>
        <w:rPr>
          <w:rFonts w:cs="Arial"/>
          <w:color w:val="000000" w:themeColor="text1"/>
          <w:szCs w:val="24"/>
        </w:rPr>
      </w:pPr>
    </w:p>
    <w:p w14:paraId="5545674A" w14:textId="33C79C9A" w:rsidR="00370BE0" w:rsidRPr="00AB1C80" w:rsidRDefault="00370BE0" w:rsidP="00AB1C80">
      <w:pPr>
        <w:spacing w:line="276" w:lineRule="auto"/>
        <w:rPr>
          <w:rFonts w:cs="Arial"/>
          <w:color w:val="000000" w:themeColor="text1"/>
          <w:szCs w:val="24"/>
        </w:rPr>
      </w:pPr>
      <w:r w:rsidRPr="00AB1C80">
        <w:rPr>
          <w:rFonts w:cs="Arial"/>
          <w:color w:val="000000" w:themeColor="text1"/>
          <w:szCs w:val="24"/>
        </w:rPr>
        <w:t xml:space="preserve">Dentro de los residuos evaluados en el estudio de la UPME-UIS, se encuentran las </w:t>
      </w:r>
      <w:r w:rsidRPr="00AB1C80">
        <w:rPr>
          <w:rFonts w:cs="Arial"/>
          <w:b/>
          <w:bCs/>
          <w:color w:val="000000" w:themeColor="text1"/>
          <w:szCs w:val="24"/>
        </w:rPr>
        <w:t>cenizas de carbón</w:t>
      </w:r>
      <w:r w:rsidRPr="00AB1C80">
        <w:rPr>
          <w:rFonts w:cs="Arial"/>
          <w:color w:val="000000" w:themeColor="text1"/>
          <w:szCs w:val="24"/>
        </w:rPr>
        <w:t xml:space="preserve"> (producto del proceso de combustión del carbón mineral para generación de vapor de uso industrial y energía eléctrica) y los </w:t>
      </w:r>
      <w:r w:rsidRPr="00AB1C80">
        <w:rPr>
          <w:rFonts w:cs="Arial"/>
          <w:b/>
          <w:bCs/>
          <w:color w:val="000000" w:themeColor="text1"/>
          <w:szCs w:val="24"/>
        </w:rPr>
        <w:t>relaves</w:t>
      </w:r>
      <w:r w:rsidRPr="00AB1C80">
        <w:rPr>
          <w:rFonts w:cs="Arial"/>
          <w:color w:val="000000" w:themeColor="text1"/>
          <w:szCs w:val="24"/>
        </w:rPr>
        <w:t xml:space="preserve"> (</w:t>
      </w:r>
      <w:r w:rsidR="009466D2" w:rsidRPr="00AB1C80">
        <w:rPr>
          <w:rFonts w:cs="Arial"/>
          <w:color w:val="000000" w:themeColor="text1"/>
          <w:szCs w:val="24"/>
        </w:rPr>
        <w:t xml:space="preserve">normalmente están constituidos por mezclas de roca molida, agua, minerales de ganga y algunos metales pesados como cobre, plomo, mercurio y arsénico). </w:t>
      </w:r>
    </w:p>
    <w:p w14:paraId="691F3CC5" w14:textId="6E6B5357" w:rsidR="00370BE0" w:rsidRPr="00AB1C80" w:rsidRDefault="00370BE0" w:rsidP="00AB1C80">
      <w:pPr>
        <w:spacing w:line="276" w:lineRule="auto"/>
        <w:rPr>
          <w:rFonts w:cs="Arial"/>
          <w:color w:val="000000" w:themeColor="text1"/>
          <w:szCs w:val="24"/>
        </w:rPr>
      </w:pPr>
    </w:p>
    <w:p w14:paraId="26692186" w14:textId="66A27B0B" w:rsidR="00370BE0" w:rsidRPr="00AB1C80" w:rsidRDefault="00370BE0" w:rsidP="00AB1C80">
      <w:pPr>
        <w:spacing w:line="276" w:lineRule="auto"/>
        <w:rPr>
          <w:rFonts w:cs="Arial"/>
          <w:color w:val="000000" w:themeColor="text1"/>
          <w:szCs w:val="24"/>
        </w:rPr>
      </w:pPr>
      <w:r w:rsidRPr="00AB1C80">
        <w:rPr>
          <w:rFonts w:cs="Arial"/>
          <w:color w:val="000000" w:themeColor="text1"/>
          <w:szCs w:val="24"/>
        </w:rPr>
        <w:t xml:space="preserve">En cuanto a las </w:t>
      </w:r>
      <w:r w:rsidRPr="00AB1C80">
        <w:rPr>
          <w:rFonts w:cs="Arial"/>
          <w:b/>
          <w:bCs/>
          <w:color w:val="000000" w:themeColor="text1"/>
          <w:szCs w:val="24"/>
        </w:rPr>
        <w:t>cenizas de carbón</w:t>
      </w:r>
      <w:r w:rsidRPr="00AB1C80">
        <w:rPr>
          <w:rFonts w:cs="Arial"/>
          <w:color w:val="000000" w:themeColor="text1"/>
          <w:szCs w:val="24"/>
        </w:rPr>
        <w:t>, cabe resaltar que los países menos desarrollados no se encuentran focalizados en utilizar la ceniza volante, este residuo en su mayoría permanece en depósitos generando costos de almacenamiento y si es dispuesta al aire libre genera contaminación ambiental. Por esta razón, es de gran importancia sensibilizar al mundo sobre el uso de las cenizas, su caracterización, su peligrosidad y su implementación en la reutilización de estos materiales en los diversos sectores como la construcción principalmente, seguido del sector industrial, agrícola, metales y catalizadores</w:t>
      </w:r>
      <w:r w:rsidRPr="00AB1C80">
        <w:rPr>
          <w:rStyle w:val="Refdenotaalpie"/>
          <w:rFonts w:cs="Arial"/>
          <w:color w:val="000000" w:themeColor="text1"/>
          <w:szCs w:val="24"/>
        </w:rPr>
        <w:footnoteReference w:id="44"/>
      </w:r>
      <w:r w:rsidRPr="00AB1C80">
        <w:rPr>
          <w:rFonts w:cs="Arial"/>
          <w:color w:val="000000" w:themeColor="text1"/>
          <w:szCs w:val="24"/>
        </w:rPr>
        <w:t xml:space="preserve">. </w:t>
      </w:r>
    </w:p>
    <w:p w14:paraId="67292B78" w14:textId="31758F2F" w:rsidR="00370BE0" w:rsidRPr="00AB1C80" w:rsidRDefault="00370BE0" w:rsidP="00AB1C80">
      <w:pPr>
        <w:spacing w:line="276" w:lineRule="auto"/>
        <w:rPr>
          <w:rFonts w:cs="Arial"/>
          <w:color w:val="000000" w:themeColor="text1"/>
          <w:szCs w:val="24"/>
        </w:rPr>
      </w:pPr>
    </w:p>
    <w:p w14:paraId="0602C9D5" w14:textId="5F3396A7" w:rsidR="00370BE0" w:rsidRPr="00AB1C80" w:rsidRDefault="00370BE0" w:rsidP="00AB1C80">
      <w:pPr>
        <w:spacing w:line="276" w:lineRule="auto"/>
        <w:rPr>
          <w:rFonts w:cs="Arial"/>
          <w:color w:val="000000" w:themeColor="text1"/>
          <w:szCs w:val="24"/>
        </w:rPr>
      </w:pPr>
      <w:r w:rsidRPr="00AB1C80">
        <w:rPr>
          <w:rFonts w:cs="Arial"/>
          <w:color w:val="000000" w:themeColor="text1"/>
          <w:szCs w:val="24"/>
        </w:rPr>
        <w:t xml:space="preserve">De manera general, para que el uso de las cenizas volantes sea rentable, estas deben transportarse a lugares no tan lejanos debido a que los costos de transporte pueden afectar económicamente el proceso de reutilización. Adicionalmente se recomienda que, para promover la reutilización de estas cenizas volantes, las entidades gubernamentales </w:t>
      </w:r>
      <w:r w:rsidR="00352DB0" w:rsidRPr="00AB1C80">
        <w:rPr>
          <w:rFonts w:cs="Arial"/>
          <w:color w:val="000000" w:themeColor="text1"/>
          <w:szCs w:val="24"/>
        </w:rPr>
        <w:t>deberían</w:t>
      </w:r>
      <w:r w:rsidRPr="00AB1C80">
        <w:rPr>
          <w:rFonts w:cs="Arial"/>
          <w:color w:val="000000" w:themeColor="text1"/>
          <w:szCs w:val="24"/>
        </w:rPr>
        <w:t xml:space="preserve"> emitir </w:t>
      </w:r>
      <w:r w:rsidR="00352DB0" w:rsidRPr="00AB1C80">
        <w:rPr>
          <w:rFonts w:cs="Arial"/>
          <w:color w:val="000000" w:themeColor="text1"/>
          <w:szCs w:val="24"/>
        </w:rPr>
        <w:t>políticas</w:t>
      </w:r>
      <w:r w:rsidRPr="00AB1C80">
        <w:rPr>
          <w:rFonts w:cs="Arial"/>
          <w:color w:val="000000" w:themeColor="text1"/>
          <w:szCs w:val="24"/>
        </w:rPr>
        <w:t xml:space="preserve"> preferenciales que fomenten</w:t>
      </w:r>
      <w:r w:rsidR="00352DB0" w:rsidRPr="00AB1C80">
        <w:rPr>
          <w:rFonts w:cs="Arial"/>
          <w:color w:val="000000" w:themeColor="text1"/>
          <w:szCs w:val="24"/>
        </w:rPr>
        <w:t xml:space="preserve"> su reciclaje, ya sea mediante disminución de impuestos u otro alivio económico que permita la reducción de estos residuos en el mundo</w:t>
      </w:r>
      <w:r w:rsidR="00352DB0" w:rsidRPr="00AB1C80">
        <w:rPr>
          <w:rStyle w:val="Refdenotaalpie"/>
          <w:rFonts w:cs="Arial"/>
          <w:color w:val="000000" w:themeColor="text1"/>
          <w:szCs w:val="24"/>
        </w:rPr>
        <w:footnoteReference w:id="45"/>
      </w:r>
      <w:r w:rsidR="00352DB0" w:rsidRPr="00AB1C80">
        <w:rPr>
          <w:rFonts w:cs="Arial"/>
          <w:color w:val="000000" w:themeColor="text1"/>
          <w:szCs w:val="24"/>
        </w:rPr>
        <w:t>.</w:t>
      </w:r>
    </w:p>
    <w:p w14:paraId="5FEF5DB3" w14:textId="7CEA8825" w:rsidR="00370BE0" w:rsidRPr="00AB1C80" w:rsidRDefault="00370BE0" w:rsidP="00AB1C80">
      <w:pPr>
        <w:spacing w:line="276" w:lineRule="auto"/>
        <w:rPr>
          <w:rFonts w:cs="Arial"/>
          <w:color w:val="000000" w:themeColor="text1"/>
          <w:szCs w:val="24"/>
        </w:rPr>
      </w:pPr>
    </w:p>
    <w:p w14:paraId="4C75F7C4" w14:textId="070A0875" w:rsidR="00370BE0" w:rsidRPr="00AB1C80" w:rsidRDefault="00FE08A2" w:rsidP="00AB1C80">
      <w:pPr>
        <w:spacing w:line="276" w:lineRule="auto"/>
        <w:rPr>
          <w:rFonts w:cs="Arial"/>
          <w:color w:val="000000" w:themeColor="text1"/>
          <w:szCs w:val="24"/>
        </w:rPr>
      </w:pPr>
      <w:r w:rsidRPr="00AB1C80">
        <w:rPr>
          <w:rFonts w:cs="Arial"/>
          <w:color w:val="000000" w:themeColor="text1"/>
          <w:szCs w:val="24"/>
        </w:rPr>
        <w:t xml:space="preserve">Para el caso de los </w:t>
      </w:r>
      <w:r w:rsidRPr="00AB1C80">
        <w:rPr>
          <w:rFonts w:cs="Arial"/>
          <w:b/>
          <w:bCs/>
          <w:color w:val="000000" w:themeColor="text1"/>
          <w:szCs w:val="24"/>
        </w:rPr>
        <w:t>relaves</w:t>
      </w:r>
      <w:r w:rsidRPr="00AB1C80">
        <w:rPr>
          <w:rFonts w:cs="Arial"/>
          <w:color w:val="000000" w:themeColor="text1"/>
          <w:szCs w:val="24"/>
        </w:rPr>
        <w:t>, se presentan diversas aplicaciones con aprovechamiento parcial como es el caso de la extracción de estos metales preciosos ya sea por métodos hidrometalúrgicos, pirometalúrgicos o biometalúrgicos. Y el caso de una utilización total o mayor, se encuentra el sector construcción y su aplicación en la fabricación de ladrillos y cerámicos. Dentro del mismo sector minero actualmente se usan como retrollenado de minas para minimizar su disposición final. Estas posibles aplicaciones representan una opción viable para valorizar este residuo y minimizar la contaminación ambiental por las grandes cantidades de relaves que se producen año tras año y los pasivos que se tienen actualmente sin ningún tipo de valorización</w:t>
      </w:r>
      <w:r w:rsidRPr="00AB1C80">
        <w:rPr>
          <w:rStyle w:val="Refdenotaalpie"/>
          <w:rFonts w:cs="Arial"/>
          <w:color w:val="000000" w:themeColor="text1"/>
          <w:szCs w:val="24"/>
        </w:rPr>
        <w:footnoteReference w:id="46"/>
      </w:r>
      <w:r w:rsidRPr="00AB1C80">
        <w:rPr>
          <w:rFonts w:cs="Arial"/>
          <w:color w:val="000000" w:themeColor="text1"/>
          <w:szCs w:val="24"/>
        </w:rPr>
        <w:t>.</w:t>
      </w:r>
    </w:p>
    <w:p w14:paraId="65BD4044" w14:textId="28575004" w:rsidR="00FE08A2" w:rsidRPr="00AB1C80" w:rsidRDefault="00FE08A2" w:rsidP="00AB1C80">
      <w:pPr>
        <w:spacing w:line="276" w:lineRule="auto"/>
        <w:rPr>
          <w:rFonts w:cs="Arial"/>
          <w:color w:val="000000" w:themeColor="text1"/>
          <w:szCs w:val="24"/>
        </w:rPr>
      </w:pPr>
    </w:p>
    <w:p w14:paraId="4FF43DA8" w14:textId="7A47BAE4" w:rsidR="00370BE0" w:rsidRPr="00AB1C80" w:rsidRDefault="00102A64" w:rsidP="00AB1C80">
      <w:pPr>
        <w:spacing w:line="276" w:lineRule="auto"/>
        <w:rPr>
          <w:rFonts w:cs="Arial"/>
          <w:color w:val="000000" w:themeColor="text1"/>
          <w:szCs w:val="24"/>
        </w:rPr>
      </w:pPr>
      <w:r w:rsidRPr="00AB1C80">
        <w:rPr>
          <w:rFonts w:cs="Arial"/>
          <w:color w:val="000000" w:themeColor="text1"/>
          <w:szCs w:val="24"/>
        </w:rPr>
        <w:t>Desde la economía circular, se</w:t>
      </w:r>
      <w:r w:rsidR="00331D4B" w:rsidRPr="00AB1C80">
        <w:rPr>
          <w:rFonts w:cs="Arial"/>
          <w:color w:val="000000" w:themeColor="text1"/>
          <w:szCs w:val="24"/>
        </w:rPr>
        <w:t xml:space="preserve"> </w:t>
      </w:r>
      <w:r w:rsidRPr="00AB1C80">
        <w:rPr>
          <w:rFonts w:cs="Arial"/>
          <w:color w:val="000000" w:themeColor="text1"/>
          <w:szCs w:val="24"/>
        </w:rPr>
        <w:t xml:space="preserve">pretende estimular el aprovechamiento de los relaves estériles y mineros o aprovechamiento de material lavado procesado, presentado un porcentaje viable para su debido recuperación y aprovechamiento, </w:t>
      </w:r>
      <w:r w:rsidRPr="00AB1C80">
        <w:rPr>
          <w:rFonts w:cs="Arial"/>
          <w:color w:val="000000" w:themeColor="text1"/>
          <w:szCs w:val="24"/>
        </w:rPr>
        <w:lastRenderedPageBreak/>
        <w:t>como respuesta a las consecuencias de los pasivos ambientales, producto de los cierres de faena de las minas</w:t>
      </w:r>
      <w:r w:rsidR="004F4E05" w:rsidRPr="00AB1C80">
        <w:rPr>
          <w:rStyle w:val="Refdenotaalpie"/>
          <w:rFonts w:cs="Arial"/>
          <w:color w:val="000000" w:themeColor="text1"/>
          <w:szCs w:val="24"/>
        </w:rPr>
        <w:footnoteReference w:id="47"/>
      </w:r>
      <w:r w:rsidR="004F4E05" w:rsidRPr="00AB1C80">
        <w:rPr>
          <w:rFonts w:cs="Arial"/>
          <w:color w:val="000000" w:themeColor="text1"/>
          <w:szCs w:val="24"/>
        </w:rPr>
        <w:t>.</w:t>
      </w:r>
    </w:p>
    <w:p w14:paraId="6B0461C2" w14:textId="22273F59" w:rsidR="00102A64" w:rsidRPr="00AB1C80" w:rsidRDefault="00102A64" w:rsidP="00AB1C80">
      <w:pPr>
        <w:spacing w:line="276" w:lineRule="auto"/>
        <w:rPr>
          <w:rFonts w:cs="Arial"/>
          <w:color w:val="000000" w:themeColor="text1"/>
          <w:sz w:val="23"/>
          <w:szCs w:val="23"/>
        </w:rPr>
      </w:pPr>
    </w:p>
    <w:p w14:paraId="17611F9D" w14:textId="3CE57170" w:rsidR="005C3E97" w:rsidRPr="00AB1C80" w:rsidRDefault="005C3E97" w:rsidP="00AB1C80">
      <w:pPr>
        <w:spacing w:line="276" w:lineRule="auto"/>
        <w:rPr>
          <w:rFonts w:cs="Arial"/>
          <w:color w:val="000000" w:themeColor="text1"/>
          <w:szCs w:val="24"/>
        </w:rPr>
      </w:pPr>
      <w:r w:rsidRPr="00AB1C80">
        <w:rPr>
          <w:rFonts w:cs="Arial"/>
          <w:color w:val="000000" w:themeColor="text1"/>
          <w:szCs w:val="24"/>
        </w:rPr>
        <w:t xml:space="preserve">Algunos proyectos de </w:t>
      </w:r>
      <w:r w:rsidRPr="00AB1C80">
        <w:rPr>
          <w:rFonts w:cs="Arial"/>
          <w:b/>
          <w:bCs/>
          <w:color w:val="000000" w:themeColor="text1"/>
          <w:szCs w:val="24"/>
        </w:rPr>
        <w:t xml:space="preserve">utilización de cenizas de </w:t>
      </w:r>
      <w:r w:rsidR="00A84705" w:rsidRPr="00AB1C80">
        <w:rPr>
          <w:rFonts w:cs="Arial"/>
          <w:b/>
          <w:bCs/>
          <w:color w:val="000000" w:themeColor="text1"/>
          <w:szCs w:val="24"/>
        </w:rPr>
        <w:t>carbón</w:t>
      </w:r>
      <w:r w:rsidRPr="00AB1C80">
        <w:rPr>
          <w:rFonts w:cs="Arial"/>
          <w:color w:val="000000" w:themeColor="text1"/>
          <w:szCs w:val="24"/>
        </w:rPr>
        <w:t xml:space="preserve"> están</w:t>
      </w:r>
      <w:r w:rsidR="00331D4B" w:rsidRPr="00AB1C80">
        <w:rPr>
          <w:rFonts w:cs="Arial"/>
          <w:color w:val="000000" w:themeColor="text1"/>
          <w:szCs w:val="24"/>
        </w:rPr>
        <w:t xml:space="preserve"> </w:t>
      </w:r>
      <w:r w:rsidRPr="00AB1C80">
        <w:rPr>
          <w:rFonts w:cs="Arial"/>
          <w:color w:val="000000" w:themeColor="text1"/>
          <w:szCs w:val="24"/>
        </w:rPr>
        <w:t>relacionados a la mezcla de las cenizas con hidróxido de calcio ya que tienen muchas de las mismas propiedades que el cemento. El concreto hecho a partir de cenizas de carbón es muy resistente y además cuesta menos. Las cenizas volantes son un producto natural generado del proceso de producción de energía, mediante la quema de carbón y reutilizarlo como un material de construcción ecológico reduce la demanda de cemento portland, cuya producción mundial</w:t>
      </w:r>
      <w:r w:rsidR="00331D4B" w:rsidRPr="00AB1C80">
        <w:rPr>
          <w:rFonts w:cs="Arial"/>
          <w:color w:val="000000" w:themeColor="text1"/>
          <w:szCs w:val="24"/>
        </w:rPr>
        <w:t xml:space="preserve"> </w:t>
      </w:r>
      <w:r w:rsidRPr="00AB1C80">
        <w:rPr>
          <w:rFonts w:cs="Arial"/>
          <w:color w:val="000000" w:themeColor="text1"/>
          <w:szCs w:val="24"/>
        </w:rPr>
        <w:t>es responsable de aproximadamente el 7 % del carbono global, así como el consumo de agua en el proceso de fraguado</w:t>
      </w:r>
      <w:r w:rsidRPr="00AB1C80">
        <w:rPr>
          <w:rStyle w:val="Refdenotaalpie"/>
          <w:rFonts w:cs="Arial"/>
          <w:color w:val="000000" w:themeColor="text1"/>
          <w:szCs w:val="24"/>
        </w:rPr>
        <w:footnoteReference w:id="48"/>
      </w:r>
      <w:r w:rsidRPr="00AB1C80">
        <w:rPr>
          <w:rFonts w:cs="Arial"/>
          <w:color w:val="000000" w:themeColor="text1"/>
          <w:szCs w:val="24"/>
        </w:rPr>
        <w:t>.</w:t>
      </w:r>
    </w:p>
    <w:p w14:paraId="3404E356" w14:textId="3A923BCD" w:rsidR="005C3E97" w:rsidRPr="00AB1C80" w:rsidRDefault="005C3E97" w:rsidP="00AB1C80">
      <w:pPr>
        <w:spacing w:line="276" w:lineRule="auto"/>
        <w:rPr>
          <w:rFonts w:cs="Arial"/>
          <w:color w:val="000000" w:themeColor="text1"/>
          <w:sz w:val="23"/>
          <w:szCs w:val="23"/>
        </w:rPr>
      </w:pPr>
    </w:p>
    <w:p w14:paraId="663753C1" w14:textId="4D983BD7" w:rsidR="00F12B84" w:rsidRPr="00AB1C80" w:rsidRDefault="00331D4B" w:rsidP="00AB1C80">
      <w:pPr>
        <w:spacing w:line="276" w:lineRule="auto"/>
        <w:rPr>
          <w:rFonts w:cs="Arial"/>
          <w:color w:val="000000" w:themeColor="text1"/>
          <w:szCs w:val="24"/>
        </w:rPr>
      </w:pPr>
      <w:r w:rsidRPr="00AB1C80">
        <w:rPr>
          <w:rFonts w:cs="Arial"/>
          <w:color w:val="000000" w:themeColor="text1"/>
          <w:szCs w:val="24"/>
        </w:rPr>
        <w:t xml:space="preserve">Desde la línea académica, </w:t>
      </w:r>
      <w:r w:rsidR="00F12B84" w:rsidRPr="00AB1C80">
        <w:rPr>
          <w:rFonts w:cs="Arial"/>
          <w:color w:val="000000" w:themeColor="text1"/>
          <w:szCs w:val="24"/>
        </w:rPr>
        <w:t xml:space="preserve">en la </w:t>
      </w:r>
      <w:r w:rsidR="00F12B84" w:rsidRPr="00AB1C80">
        <w:rPr>
          <w:rFonts w:cs="Arial"/>
          <w:color w:val="000000" w:themeColor="text1"/>
          <w:szCs w:val="24"/>
          <w:u w:val="single"/>
        </w:rPr>
        <w:t>Universidad de Ciencias Aplicadas y Ambientales (UDCA),</w:t>
      </w:r>
      <w:r w:rsidR="00F12B84" w:rsidRPr="00AB1C80">
        <w:rPr>
          <w:rFonts w:cs="Arial"/>
          <w:color w:val="000000" w:themeColor="text1"/>
          <w:szCs w:val="24"/>
        </w:rPr>
        <w:t xml:space="preserve"> </w:t>
      </w:r>
      <w:r w:rsidRPr="00AB1C80">
        <w:rPr>
          <w:rFonts w:cs="Arial"/>
          <w:color w:val="000000" w:themeColor="text1"/>
          <w:szCs w:val="24"/>
        </w:rPr>
        <w:t>se elaboró una tesis de grado</w:t>
      </w:r>
      <w:r w:rsidR="00656A1A" w:rsidRPr="00AB1C80">
        <w:rPr>
          <w:rFonts w:cs="Arial"/>
          <w:color w:val="000000" w:themeColor="text1"/>
          <w:szCs w:val="24"/>
        </w:rPr>
        <w:t xml:space="preserve"> en el año 2018</w:t>
      </w:r>
      <w:r w:rsidR="00F12B84" w:rsidRPr="00AB1C80">
        <w:rPr>
          <w:rFonts w:cs="Arial"/>
          <w:color w:val="000000" w:themeColor="text1"/>
          <w:szCs w:val="24"/>
        </w:rPr>
        <w:t xml:space="preserve"> denominada “</w:t>
      </w:r>
      <w:r w:rsidR="00F12B84" w:rsidRPr="00AB1C80">
        <w:rPr>
          <w:rFonts w:cs="Arial"/>
          <w:i/>
          <w:iCs/>
          <w:color w:val="000000" w:themeColor="text1"/>
          <w:szCs w:val="24"/>
        </w:rPr>
        <w:t>Economía Circular: Crecimiento inteligente, sostenible e integrador”</w:t>
      </w:r>
      <w:r w:rsidR="00060ED7" w:rsidRPr="00AB1C80">
        <w:rPr>
          <w:rFonts w:cs="Arial"/>
          <w:color w:val="000000" w:themeColor="text1"/>
          <w:szCs w:val="24"/>
        </w:rPr>
        <w:t xml:space="preserve">, </w:t>
      </w:r>
      <w:r w:rsidR="00656A1A" w:rsidRPr="00AB1C80">
        <w:rPr>
          <w:rFonts w:cs="Arial"/>
          <w:color w:val="000000" w:themeColor="text1"/>
          <w:szCs w:val="24"/>
        </w:rPr>
        <w:t>en donde</w:t>
      </w:r>
      <w:r w:rsidR="00060ED7" w:rsidRPr="00AB1C80">
        <w:rPr>
          <w:rFonts w:cs="Arial"/>
          <w:color w:val="000000" w:themeColor="text1"/>
          <w:szCs w:val="24"/>
        </w:rPr>
        <w:t xml:space="preserve"> </w:t>
      </w:r>
      <w:r w:rsidR="00F12B84" w:rsidRPr="00AB1C80">
        <w:rPr>
          <w:rFonts w:cs="Arial"/>
          <w:color w:val="000000" w:themeColor="text1"/>
          <w:szCs w:val="24"/>
        </w:rPr>
        <w:t>su autora</w:t>
      </w:r>
      <w:r w:rsidR="000F104E" w:rsidRPr="00AB1C80">
        <w:rPr>
          <w:rFonts w:cs="Arial"/>
          <w:color w:val="000000" w:themeColor="text1"/>
          <w:szCs w:val="24"/>
        </w:rPr>
        <w:t xml:space="preserve"> </w:t>
      </w:r>
      <w:r w:rsidR="00656A1A" w:rsidRPr="00AB1C80">
        <w:rPr>
          <w:rFonts w:cs="Arial"/>
          <w:color w:val="000000" w:themeColor="text1"/>
          <w:szCs w:val="24"/>
        </w:rPr>
        <w:t xml:space="preserve">aborda la temática de economía circular </w:t>
      </w:r>
      <w:r w:rsidR="00F12B84" w:rsidRPr="00AB1C80">
        <w:rPr>
          <w:rFonts w:cs="Arial"/>
          <w:color w:val="000000" w:themeColor="text1"/>
          <w:szCs w:val="24"/>
        </w:rPr>
        <w:t xml:space="preserve">como un modelo de economía rentable y sostenible que busca reducir a cero los residuos generados en los productos y, en donde se incorpora un valor agregado al producto mejorando así la competitividad de este en el mercado. </w:t>
      </w:r>
    </w:p>
    <w:p w14:paraId="385AE460" w14:textId="77777777" w:rsidR="00F12B84" w:rsidRPr="00AB1C80" w:rsidRDefault="00F12B84" w:rsidP="00AB1C80">
      <w:pPr>
        <w:spacing w:line="276" w:lineRule="auto"/>
        <w:rPr>
          <w:rFonts w:cs="Arial"/>
          <w:color w:val="000000" w:themeColor="text1"/>
          <w:szCs w:val="24"/>
        </w:rPr>
      </w:pPr>
    </w:p>
    <w:p w14:paraId="48B3D13F" w14:textId="5AA7310B" w:rsidR="00F12B84" w:rsidRPr="00AB1C80" w:rsidRDefault="00060ED7" w:rsidP="00AB1C80">
      <w:pPr>
        <w:spacing w:line="276" w:lineRule="auto"/>
        <w:rPr>
          <w:rFonts w:cs="Arial"/>
          <w:color w:val="000000" w:themeColor="text1"/>
          <w:szCs w:val="24"/>
        </w:rPr>
      </w:pPr>
      <w:r w:rsidRPr="00AB1C80">
        <w:rPr>
          <w:rFonts w:cs="Arial"/>
          <w:color w:val="000000" w:themeColor="text1"/>
          <w:szCs w:val="24"/>
        </w:rPr>
        <w:t xml:space="preserve">Según el análisis de este documento, se puede concluir que para </w:t>
      </w:r>
      <w:r w:rsidR="00F12B84" w:rsidRPr="00AB1C80">
        <w:rPr>
          <w:rFonts w:cs="Arial"/>
          <w:color w:val="000000" w:themeColor="text1"/>
          <w:szCs w:val="24"/>
        </w:rPr>
        <w:t xml:space="preserve">desarrollar un plan de trabajo </w:t>
      </w:r>
      <w:r w:rsidRPr="00AB1C80">
        <w:rPr>
          <w:rFonts w:cs="Arial"/>
          <w:color w:val="000000" w:themeColor="text1"/>
          <w:szCs w:val="24"/>
        </w:rPr>
        <w:t>en el marco de la eco</w:t>
      </w:r>
      <w:r w:rsidR="005A0C11" w:rsidRPr="00AB1C80">
        <w:rPr>
          <w:rFonts w:cs="Arial"/>
          <w:color w:val="000000" w:themeColor="text1"/>
          <w:szCs w:val="24"/>
        </w:rPr>
        <w:t>n</w:t>
      </w:r>
      <w:r w:rsidRPr="00AB1C80">
        <w:rPr>
          <w:rFonts w:cs="Arial"/>
          <w:color w:val="000000" w:themeColor="text1"/>
          <w:szCs w:val="24"/>
        </w:rPr>
        <w:t xml:space="preserve">omía circular </w:t>
      </w:r>
      <w:r w:rsidR="00F12B84" w:rsidRPr="00AB1C80">
        <w:rPr>
          <w:rFonts w:cs="Arial"/>
          <w:color w:val="000000" w:themeColor="text1"/>
          <w:szCs w:val="24"/>
        </w:rPr>
        <w:t>que le interese a</w:t>
      </w:r>
      <w:r w:rsidR="009A50B1" w:rsidRPr="00AB1C80">
        <w:rPr>
          <w:rFonts w:cs="Arial"/>
          <w:color w:val="000000" w:themeColor="text1"/>
          <w:szCs w:val="24"/>
        </w:rPr>
        <w:t xml:space="preserve"> un proyecto</w:t>
      </w:r>
      <w:r w:rsidR="00F12B84" w:rsidRPr="00AB1C80">
        <w:rPr>
          <w:rFonts w:cs="Arial"/>
          <w:color w:val="000000" w:themeColor="text1"/>
          <w:szCs w:val="24"/>
        </w:rPr>
        <w:t xml:space="preserve"> minero se deben tener cuentas las </w:t>
      </w:r>
      <w:r w:rsidR="00655EB6" w:rsidRPr="00AB1C80">
        <w:rPr>
          <w:rFonts w:cs="Arial"/>
          <w:color w:val="000000" w:themeColor="text1"/>
          <w:szCs w:val="24"/>
        </w:rPr>
        <w:t xml:space="preserve">siguientes </w:t>
      </w:r>
      <w:r w:rsidR="00F12B84" w:rsidRPr="00AB1C80">
        <w:rPr>
          <w:rFonts w:cs="Arial"/>
          <w:color w:val="000000" w:themeColor="text1"/>
          <w:szCs w:val="24"/>
        </w:rPr>
        <w:t>características de la economía circular</w:t>
      </w:r>
      <w:r w:rsidR="00655EB6" w:rsidRPr="00AB1C80">
        <w:rPr>
          <w:rFonts w:cs="Arial"/>
          <w:color w:val="000000" w:themeColor="text1"/>
          <w:szCs w:val="24"/>
        </w:rPr>
        <w:t>, ya que con este conocimiento se puede implementar una estrategia que sea llamativa y económicamente viable en el proyecto minero</w:t>
      </w:r>
      <w:r w:rsidR="0086328A" w:rsidRPr="00AB1C80">
        <w:rPr>
          <w:rFonts w:cs="Arial"/>
          <w:color w:val="000000" w:themeColor="text1"/>
          <w:szCs w:val="24"/>
        </w:rPr>
        <w:t>:</w:t>
      </w:r>
    </w:p>
    <w:p w14:paraId="356F2B24" w14:textId="77777777" w:rsidR="00F12B84" w:rsidRPr="00AB1C80" w:rsidRDefault="00F12B84" w:rsidP="00AB1C80">
      <w:pPr>
        <w:spacing w:line="276" w:lineRule="auto"/>
        <w:rPr>
          <w:rFonts w:cs="Arial"/>
          <w:color w:val="000000" w:themeColor="text1"/>
          <w:szCs w:val="24"/>
        </w:rPr>
      </w:pPr>
    </w:p>
    <w:p w14:paraId="3EC0E7F9" w14:textId="77777777" w:rsidR="009A50B1" w:rsidRPr="00AB1C80" w:rsidRDefault="00F12B84" w:rsidP="00AB1C80">
      <w:pPr>
        <w:pStyle w:val="Prrafodelista"/>
        <w:numPr>
          <w:ilvl w:val="0"/>
          <w:numId w:val="5"/>
        </w:numPr>
        <w:spacing w:line="276" w:lineRule="auto"/>
        <w:rPr>
          <w:rFonts w:cs="Arial"/>
          <w:color w:val="000000" w:themeColor="text1"/>
          <w:szCs w:val="24"/>
        </w:rPr>
      </w:pPr>
      <w:r w:rsidRPr="00AB1C80">
        <w:rPr>
          <w:rFonts w:cs="Arial"/>
          <w:color w:val="000000" w:themeColor="text1"/>
          <w:szCs w:val="24"/>
        </w:rPr>
        <w:t>Diseñar sin residuos, es decir que los residuos se conviertan en un recurso</w:t>
      </w:r>
    </w:p>
    <w:p w14:paraId="60DC6ECC" w14:textId="4AF0A055" w:rsidR="009A50B1" w:rsidRPr="00AB1C80" w:rsidRDefault="00F12B84" w:rsidP="00AB1C80">
      <w:pPr>
        <w:pStyle w:val="Prrafodelista"/>
        <w:numPr>
          <w:ilvl w:val="0"/>
          <w:numId w:val="5"/>
        </w:numPr>
        <w:spacing w:line="276" w:lineRule="auto"/>
        <w:rPr>
          <w:rFonts w:cs="Arial"/>
          <w:color w:val="000000" w:themeColor="text1"/>
          <w:szCs w:val="24"/>
        </w:rPr>
      </w:pPr>
      <w:r w:rsidRPr="00AB1C80">
        <w:rPr>
          <w:rFonts w:cs="Arial"/>
          <w:color w:val="000000" w:themeColor="text1"/>
          <w:szCs w:val="24"/>
        </w:rPr>
        <w:t>Diversidad</w:t>
      </w:r>
      <w:r w:rsidR="005A0C11" w:rsidRPr="00AB1C80">
        <w:rPr>
          <w:rFonts w:cs="Arial"/>
          <w:color w:val="000000" w:themeColor="text1"/>
          <w:szCs w:val="24"/>
        </w:rPr>
        <w:t xml:space="preserve"> para incursionar en más de un tipo de mercado </w:t>
      </w:r>
    </w:p>
    <w:p w14:paraId="77817A39" w14:textId="77777777" w:rsidR="009A50B1" w:rsidRPr="00AB1C80" w:rsidRDefault="00F12B84" w:rsidP="00AB1C80">
      <w:pPr>
        <w:pStyle w:val="Prrafodelista"/>
        <w:numPr>
          <w:ilvl w:val="0"/>
          <w:numId w:val="5"/>
        </w:numPr>
        <w:spacing w:line="276" w:lineRule="auto"/>
        <w:rPr>
          <w:rFonts w:cs="Arial"/>
          <w:color w:val="000000" w:themeColor="text1"/>
          <w:szCs w:val="24"/>
        </w:rPr>
      </w:pPr>
      <w:r w:rsidRPr="00AB1C80">
        <w:rPr>
          <w:rFonts w:cs="Arial"/>
          <w:color w:val="000000" w:themeColor="text1"/>
          <w:szCs w:val="24"/>
        </w:rPr>
        <w:t>Uso de fuentes de energías renovables</w:t>
      </w:r>
    </w:p>
    <w:p w14:paraId="1CC6721B" w14:textId="2CB4DEFC" w:rsidR="009A50B1" w:rsidRPr="00AB1C80" w:rsidRDefault="00F12B84" w:rsidP="00AB1C80">
      <w:pPr>
        <w:pStyle w:val="Prrafodelista"/>
        <w:numPr>
          <w:ilvl w:val="0"/>
          <w:numId w:val="5"/>
        </w:numPr>
        <w:spacing w:line="276" w:lineRule="auto"/>
        <w:rPr>
          <w:rFonts w:cs="Arial"/>
          <w:color w:val="000000" w:themeColor="text1"/>
          <w:szCs w:val="24"/>
        </w:rPr>
      </w:pPr>
      <w:r w:rsidRPr="00AB1C80">
        <w:rPr>
          <w:rFonts w:cs="Arial"/>
          <w:color w:val="000000" w:themeColor="text1"/>
          <w:szCs w:val="24"/>
        </w:rPr>
        <w:t>Pensar en un sistema teniendo una visión holística, es decir, es fundamental comprender cómo influyen entre sí las partes dentro de un todo y la relación del todo con las partes</w:t>
      </w:r>
    </w:p>
    <w:p w14:paraId="198F3BEC" w14:textId="18913861" w:rsidR="00F12B84" w:rsidRPr="00AB1C80" w:rsidRDefault="00F12B84" w:rsidP="00AB1C80">
      <w:pPr>
        <w:pStyle w:val="Prrafodelista"/>
        <w:numPr>
          <w:ilvl w:val="0"/>
          <w:numId w:val="5"/>
        </w:numPr>
        <w:spacing w:line="276" w:lineRule="auto"/>
        <w:rPr>
          <w:rFonts w:cs="Arial"/>
          <w:color w:val="000000" w:themeColor="text1"/>
          <w:szCs w:val="24"/>
        </w:rPr>
      </w:pPr>
      <w:r w:rsidRPr="00AB1C80">
        <w:rPr>
          <w:rFonts w:cs="Arial"/>
          <w:color w:val="000000" w:themeColor="text1"/>
          <w:szCs w:val="24"/>
        </w:rPr>
        <w:t>Reflejar los costos reales de implementar una economía circular</w:t>
      </w:r>
    </w:p>
    <w:p w14:paraId="10BFF46E" w14:textId="26E4BE33" w:rsidR="00331D4B" w:rsidRPr="00AB1C80" w:rsidRDefault="00331D4B" w:rsidP="00AB1C80">
      <w:pPr>
        <w:spacing w:line="276" w:lineRule="auto"/>
        <w:rPr>
          <w:rFonts w:cs="Arial"/>
          <w:color w:val="000000" w:themeColor="text1"/>
          <w:szCs w:val="24"/>
        </w:rPr>
      </w:pPr>
    </w:p>
    <w:p w14:paraId="3061657F" w14:textId="7FE182E0" w:rsidR="005A38A1" w:rsidRPr="00AB1C80" w:rsidRDefault="005A38A1" w:rsidP="00AB1C80">
      <w:pPr>
        <w:spacing w:line="276" w:lineRule="auto"/>
        <w:rPr>
          <w:rFonts w:cs="Arial"/>
          <w:color w:val="000000" w:themeColor="text1"/>
          <w:szCs w:val="24"/>
        </w:rPr>
      </w:pPr>
      <w:r w:rsidRPr="00AB1C80">
        <w:rPr>
          <w:rFonts w:cs="Arial"/>
          <w:color w:val="000000" w:themeColor="text1"/>
          <w:szCs w:val="24"/>
        </w:rPr>
        <w:t xml:space="preserve">Continuando en la línea académica, en la </w:t>
      </w:r>
      <w:r w:rsidRPr="00AB1C80">
        <w:rPr>
          <w:rFonts w:cs="Arial"/>
          <w:color w:val="000000" w:themeColor="text1"/>
          <w:szCs w:val="24"/>
          <w:u w:val="single"/>
        </w:rPr>
        <w:t>Universidad Santo Tom</w:t>
      </w:r>
      <w:r w:rsidR="00A56937" w:rsidRPr="00AB1C80">
        <w:rPr>
          <w:rFonts w:cs="Arial"/>
          <w:color w:val="000000" w:themeColor="text1"/>
          <w:szCs w:val="24"/>
          <w:u w:val="single"/>
        </w:rPr>
        <w:t>á</w:t>
      </w:r>
      <w:r w:rsidRPr="00AB1C80">
        <w:rPr>
          <w:rFonts w:cs="Arial"/>
          <w:color w:val="000000" w:themeColor="text1"/>
          <w:szCs w:val="24"/>
          <w:u w:val="single"/>
        </w:rPr>
        <w:t>s – Villavicencio</w:t>
      </w:r>
      <w:r w:rsidRPr="00AB1C80">
        <w:rPr>
          <w:rFonts w:cs="Arial"/>
          <w:color w:val="000000" w:themeColor="text1"/>
          <w:szCs w:val="24"/>
        </w:rPr>
        <w:t>, se elaboró una tesis de grado en el año 2019 denominada “</w:t>
      </w:r>
      <w:r w:rsidRPr="00AB1C80">
        <w:rPr>
          <w:rFonts w:cs="Arial"/>
          <w:i/>
          <w:iCs/>
          <w:color w:val="000000" w:themeColor="text1"/>
          <w:szCs w:val="24"/>
        </w:rPr>
        <w:t>Elaboración de unidades de mampostería perforada de concreto utilizando relaves provenientes de la minería de agregados</w:t>
      </w:r>
      <w:r w:rsidRPr="00AB1C80">
        <w:rPr>
          <w:rFonts w:cs="Arial"/>
          <w:color w:val="000000" w:themeColor="text1"/>
          <w:szCs w:val="24"/>
        </w:rPr>
        <w:t>”, en donde sus autoras</w:t>
      </w:r>
      <w:r w:rsidR="000F104E" w:rsidRPr="00AB1C80">
        <w:rPr>
          <w:rFonts w:cs="Arial"/>
          <w:color w:val="000000" w:themeColor="text1"/>
          <w:szCs w:val="24"/>
        </w:rPr>
        <w:t xml:space="preserve"> </w:t>
      </w:r>
      <w:r w:rsidRPr="00AB1C80">
        <w:rPr>
          <w:rFonts w:cs="Arial"/>
          <w:color w:val="000000" w:themeColor="text1"/>
          <w:szCs w:val="24"/>
        </w:rPr>
        <w:t>analizan el uso de relaves provenientes de la minería de agregados de la planta Zafiro especializada en la extracción y producción de materiales de construcción, ubicada en la ciudad de Villavicencio – Meta, para la elaboración de unidades de mampostería perforada de concreto</w:t>
      </w:r>
      <w:r w:rsidR="00E21406" w:rsidRPr="00AB1C80">
        <w:rPr>
          <w:rFonts w:cs="Arial"/>
          <w:color w:val="000000" w:themeColor="text1"/>
          <w:szCs w:val="24"/>
        </w:rPr>
        <w:t xml:space="preserve"> </w:t>
      </w:r>
      <w:r w:rsidRPr="00AB1C80">
        <w:rPr>
          <w:rFonts w:cs="Arial"/>
          <w:color w:val="000000" w:themeColor="text1"/>
          <w:szCs w:val="24"/>
        </w:rPr>
        <w:t>como reemplazo porcentual del cemento, evaluando el comportamiento físico de 4 diseños de mezcla con diferentes porcentajes de reemplazo (10%, 20%, 30% y 50%), sometidas a ensayos físicos, químicos y mecánicos en distintas edades de curado.</w:t>
      </w:r>
    </w:p>
    <w:p w14:paraId="1A655EBE" w14:textId="3DF05F76" w:rsidR="00B372D5" w:rsidRPr="00AB1C80" w:rsidRDefault="00B372D5" w:rsidP="00AB1C80">
      <w:pPr>
        <w:spacing w:line="276" w:lineRule="auto"/>
        <w:rPr>
          <w:rFonts w:cs="Arial"/>
          <w:color w:val="000000" w:themeColor="text1"/>
          <w:szCs w:val="24"/>
        </w:rPr>
      </w:pPr>
    </w:p>
    <w:p w14:paraId="31F91643" w14:textId="27BB07F5" w:rsidR="00B40865" w:rsidRPr="00AB1C80" w:rsidRDefault="00B372D5" w:rsidP="00AB1C80">
      <w:pPr>
        <w:spacing w:line="276" w:lineRule="auto"/>
        <w:rPr>
          <w:rFonts w:cs="Arial"/>
          <w:color w:val="000000" w:themeColor="text1"/>
          <w:szCs w:val="24"/>
        </w:rPr>
      </w:pPr>
      <w:r w:rsidRPr="00AB1C80">
        <w:rPr>
          <w:rFonts w:cs="Arial"/>
          <w:color w:val="000000" w:themeColor="text1"/>
          <w:szCs w:val="24"/>
        </w:rPr>
        <w:t xml:space="preserve">El proyecto consta de 4 fases metodológicas que contemplan </w:t>
      </w:r>
      <w:r w:rsidR="00B053FA" w:rsidRPr="00AB1C80">
        <w:rPr>
          <w:rFonts w:cs="Arial"/>
          <w:color w:val="000000" w:themeColor="text1"/>
          <w:szCs w:val="24"/>
        </w:rPr>
        <w:t xml:space="preserve">inicialmente </w:t>
      </w:r>
      <w:r w:rsidRPr="00AB1C80">
        <w:rPr>
          <w:rFonts w:cs="Arial"/>
          <w:color w:val="000000" w:themeColor="text1"/>
          <w:szCs w:val="24"/>
        </w:rPr>
        <w:t>la</w:t>
      </w:r>
      <w:r w:rsidR="00B053FA" w:rsidRPr="00AB1C80">
        <w:rPr>
          <w:rFonts w:cs="Arial"/>
          <w:color w:val="000000" w:themeColor="text1"/>
          <w:szCs w:val="24"/>
        </w:rPr>
        <w:t xml:space="preserve"> etapa 1 de </w:t>
      </w:r>
      <w:r w:rsidRPr="00AB1C80">
        <w:rPr>
          <w:rFonts w:cs="Arial"/>
          <w:color w:val="000000" w:themeColor="text1"/>
          <w:szCs w:val="24"/>
        </w:rPr>
        <w:t xml:space="preserve">caracterización </w:t>
      </w:r>
      <w:r w:rsidR="00E21406" w:rsidRPr="00AB1C80">
        <w:rPr>
          <w:rFonts w:cs="Arial"/>
          <w:color w:val="000000" w:themeColor="text1"/>
          <w:szCs w:val="24"/>
        </w:rPr>
        <w:t xml:space="preserve">física (contenido de humedad, granulometría, peso específico) y </w:t>
      </w:r>
      <w:r w:rsidRPr="00AB1C80">
        <w:rPr>
          <w:rFonts w:cs="Arial"/>
          <w:color w:val="000000" w:themeColor="text1"/>
          <w:szCs w:val="24"/>
        </w:rPr>
        <w:t>química</w:t>
      </w:r>
      <w:r w:rsidR="00E21406" w:rsidRPr="00AB1C80">
        <w:rPr>
          <w:rFonts w:cs="Arial"/>
          <w:color w:val="000000" w:themeColor="text1"/>
          <w:szCs w:val="24"/>
        </w:rPr>
        <w:t xml:space="preserve"> (fluorescencia de rayos</w:t>
      </w:r>
      <w:r w:rsidR="00822E48" w:rsidRPr="00AB1C80">
        <w:rPr>
          <w:rFonts w:cs="Arial"/>
          <w:color w:val="000000" w:themeColor="text1"/>
          <w:szCs w:val="24"/>
        </w:rPr>
        <w:t xml:space="preserve"> X al relave)</w:t>
      </w:r>
      <w:r w:rsidR="00B053FA" w:rsidRPr="00AB1C80">
        <w:rPr>
          <w:rFonts w:cs="Arial"/>
          <w:color w:val="000000" w:themeColor="text1"/>
          <w:szCs w:val="24"/>
        </w:rPr>
        <w:t xml:space="preserve">; posteriormente la etapa 2 de </w:t>
      </w:r>
      <w:r w:rsidRPr="00AB1C80">
        <w:rPr>
          <w:rFonts w:cs="Arial"/>
          <w:color w:val="000000" w:themeColor="text1"/>
          <w:szCs w:val="24"/>
        </w:rPr>
        <w:t>diseño de mezclas</w:t>
      </w:r>
      <w:r w:rsidR="00B053FA" w:rsidRPr="00AB1C80">
        <w:rPr>
          <w:rFonts w:cs="Arial"/>
          <w:color w:val="000000" w:themeColor="text1"/>
          <w:szCs w:val="24"/>
        </w:rPr>
        <w:t xml:space="preserve"> y elaboración de bloque; seguida por la etapa 3 correspondiente a</w:t>
      </w:r>
      <w:r w:rsidRPr="00AB1C80">
        <w:rPr>
          <w:rFonts w:cs="Arial"/>
          <w:color w:val="000000" w:themeColor="text1"/>
          <w:szCs w:val="24"/>
        </w:rPr>
        <w:t xml:space="preserve">l análisis del comportamiento mecánico de las mezclas con reemplazo por medio de ensayos de resistencia a la compresión y absorción de agua, y </w:t>
      </w:r>
      <w:r w:rsidR="00B053FA" w:rsidRPr="00AB1C80">
        <w:rPr>
          <w:rFonts w:cs="Arial"/>
          <w:color w:val="000000" w:themeColor="text1"/>
          <w:szCs w:val="24"/>
        </w:rPr>
        <w:t xml:space="preserve">la etapa 4 que corresponde a un </w:t>
      </w:r>
      <w:r w:rsidRPr="00AB1C80">
        <w:rPr>
          <w:rFonts w:cs="Arial"/>
          <w:color w:val="000000" w:themeColor="text1"/>
          <w:szCs w:val="24"/>
        </w:rPr>
        <w:t xml:space="preserve">análisis </w:t>
      </w:r>
      <w:r w:rsidR="00B053FA" w:rsidRPr="00AB1C80">
        <w:rPr>
          <w:rFonts w:cs="Arial"/>
          <w:color w:val="000000" w:themeColor="text1"/>
          <w:szCs w:val="24"/>
        </w:rPr>
        <w:t>comparativo de costos de producción vs.</w:t>
      </w:r>
      <w:r w:rsidR="00C845D0" w:rsidRPr="00AB1C80">
        <w:rPr>
          <w:rFonts w:cs="Arial"/>
          <w:color w:val="000000" w:themeColor="text1"/>
          <w:szCs w:val="24"/>
        </w:rPr>
        <w:t xml:space="preserve"> </w:t>
      </w:r>
      <w:r w:rsidR="00B053FA" w:rsidRPr="00AB1C80">
        <w:rPr>
          <w:rFonts w:cs="Arial"/>
          <w:color w:val="000000" w:themeColor="text1"/>
          <w:szCs w:val="24"/>
        </w:rPr>
        <w:t>propiedades mecánicas de las unidades de mampostería, así como la definición d</w:t>
      </w:r>
      <w:r w:rsidRPr="00AB1C80">
        <w:rPr>
          <w:rFonts w:cs="Arial"/>
          <w:color w:val="000000" w:themeColor="text1"/>
          <w:szCs w:val="24"/>
        </w:rPr>
        <w:t>el porcentaje de ahorro que representa cada reemplazo de cemento por relave en el costo total del bloque.</w:t>
      </w:r>
    </w:p>
    <w:p w14:paraId="62F25221" w14:textId="28EC3B0F" w:rsidR="003E4798" w:rsidRPr="00AB1C80" w:rsidRDefault="003E4798" w:rsidP="00AB1C80">
      <w:pPr>
        <w:spacing w:line="276" w:lineRule="auto"/>
        <w:rPr>
          <w:rFonts w:cs="Arial"/>
          <w:color w:val="000000" w:themeColor="text1"/>
          <w:szCs w:val="24"/>
        </w:rPr>
      </w:pPr>
    </w:p>
    <w:p w14:paraId="6A17BB20" w14:textId="5F7514DA" w:rsidR="00A56937" w:rsidRPr="00AB1C80" w:rsidRDefault="00A56937" w:rsidP="00AB1C80">
      <w:pPr>
        <w:spacing w:line="276" w:lineRule="auto"/>
        <w:rPr>
          <w:rFonts w:cs="Arial"/>
          <w:color w:val="000000" w:themeColor="text1"/>
          <w:highlight w:val="yellow"/>
        </w:rPr>
      </w:pPr>
      <w:r w:rsidRPr="00AB1C80">
        <w:rPr>
          <w:rFonts w:cs="Arial"/>
          <w:color w:val="000000" w:themeColor="text1"/>
        </w:rPr>
        <w:t xml:space="preserve">Para finalizar el análisis de la línea académica, </w:t>
      </w:r>
      <w:r w:rsidRPr="00AB1C80">
        <w:rPr>
          <w:rFonts w:cs="Arial"/>
          <w:color w:val="000000" w:themeColor="text1"/>
          <w:szCs w:val="24"/>
        </w:rPr>
        <w:t xml:space="preserve">en la </w:t>
      </w:r>
      <w:r w:rsidRPr="00AB1C80">
        <w:rPr>
          <w:rFonts w:cs="Arial"/>
          <w:color w:val="000000" w:themeColor="text1"/>
          <w:szCs w:val="24"/>
          <w:u w:val="single"/>
        </w:rPr>
        <w:t xml:space="preserve">Universidad </w:t>
      </w:r>
      <w:r w:rsidR="00A84705" w:rsidRPr="00AB1C80">
        <w:rPr>
          <w:rFonts w:cs="Arial"/>
          <w:color w:val="000000" w:themeColor="text1"/>
          <w:szCs w:val="24"/>
          <w:u w:val="single"/>
        </w:rPr>
        <w:t>ICESI en</w:t>
      </w:r>
      <w:r w:rsidRPr="00AB1C80">
        <w:rPr>
          <w:rFonts w:cs="Arial"/>
          <w:color w:val="000000" w:themeColor="text1"/>
          <w:szCs w:val="24"/>
          <w:u w:val="single"/>
        </w:rPr>
        <w:t xml:space="preserve"> Santiago de Cali</w:t>
      </w:r>
      <w:r w:rsidRPr="00AB1C80">
        <w:rPr>
          <w:rFonts w:cs="Arial"/>
          <w:color w:val="000000" w:themeColor="text1"/>
          <w:szCs w:val="24"/>
        </w:rPr>
        <w:t>, se elaboró una tesis de grado en el año 2019 denominada “</w:t>
      </w:r>
      <w:r w:rsidRPr="00AB1C80">
        <w:rPr>
          <w:rFonts w:cs="Arial"/>
          <w:i/>
          <w:iCs/>
          <w:color w:val="000000" w:themeColor="text1"/>
          <w:szCs w:val="24"/>
        </w:rPr>
        <w:t>Modelos Empresariales de Economía Circular en PYMES</w:t>
      </w:r>
      <w:r w:rsidRPr="00AB1C80">
        <w:rPr>
          <w:rFonts w:cs="Arial"/>
          <w:color w:val="000000" w:themeColor="text1"/>
          <w:szCs w:val="24"/>
        </w:rPr>
        <w:t>”, en donde su autor</w:t>
      </w:r>
      <w:r w:rsidR="000F104E" w:rsidRPr="00AB1C80">
        <w:rPr>
          <w:rFonts w:cs="Arial"/>
          <w:color w:val="000000" w:themeColor="text1"/>
          <w:szCs w:val="24"/>
        </w:rPr>
        <w:t xml:space="preserve"> </w:t>
      </w:r>
      <w:r w:rsidR="002717CF" w:rsidRPr="00AB1C80">
        <w:rPr>
          <w:rFonts w:cs="Arial"/>
          <w:color w:val="000000" w:themeColor="text1"/>
          <w:szCs w:val="24"/>
        </w:rPr>
        <w:t>identifica y analiza</w:t>
      </w:r>
      <w:r w:rsidR="00C845D0" w:rsidRPr="00AB1C80">
        <w:rPr>
          <w:rFonts w:cs="Arial"/>
          <w:color w:val="000000" w:themeColor="text1"/>
          <w:szCs w:val="24"/>
        </w:rPr>
        <w:t xml:space="preserve"> </w:t>
      </w:r>
      <w:r w:rsidR="002717CF" w:rsidRPr="00AB1C80">
        <w:rPr>
          <w:rFonts w:cs="Arial"/>
          <w:color w:val="000000" w:themeColor="text1"/>
          <w:szCs w:val="24"/>
        </w:rPr>
        <w:t xml:space="preserve">los avances, las prácticas y la gestión de algunas pymes de la ciudad de Cali, a partir del marco conceptual de economía circular. De igual forma, busca identificar las dificultades legales y operativas para que estos negocios funcionen bajo la lógica del modelo circular. Para el desarrollo de la investigación, </w:t>
      </w:r>
      <w:r w:rsidR="00890436" w:rsidRPr="00AB1C80">
        <w:rPr>
          <w:rFonts w:cs="Arial"/>
          <w:color w:val="000000" w:themeColor="text1"/>
          <w:szCs w:val="24"/>
        </w:rPr>
        <w:t xml:space="preserve">se </w:t>
      </w:r>
      <w:r w:rsidR="002717CF" w:rsidRPr="00AB1C80">
        <w:rPr>
          <w:rFonts w:cs="Arial"/>
          <w:color w:val="000000" w:themeColor="text1"/>
          <w:szCs w:val="24"/>
        </w:rPr>
        <w:t>diseñ</w:t>
      </w:r>
      <w:r w:rsidR="00890436" w:rsidRPr="00AB1C80">
        <w:rPr>
          <w:rFonts w:cs="Arial"/>
          <w:color w:val="000000" w:themeColor="text1"/>
          <w:szCs w:val="24"/>
        </w:rPr>
        <w:t>ó</w:t>
      </w:r>
      <w:r w:rsidR="002717CF" w:rsidRPr="00AB1C80">
        <w:rPr>
          <w:rFonts w:cs="Arial"/>
          <w:color w:val="000000" w:themeColor="text1"/>
          <w:szCs w:val="24"/>
        </w:rPr>
        <w:t xml:space="preserve"> una herramienta de evaluación que identifica el estado de circularidad actual de las empresas en tres niveles: cadena de suministro, empresa y producto, a partir de los principios y actividades del modelo de Economía Circular. De acuerdo con los resultados finales las pymes circulares presentan un nivel de desarrollo circular intermedio en sus actividades y prácticas, debido a la existencia de dificultades tanto técnicas como financieras y operativas.</w:t>
      </w:r>
    </w:p>
    <w:p w14:paraId="09A26CCB" w14:textId="42A2D974" w:rsidR="00A56937" w:rsidRPr="00AB1C80" w:rsidRDefault="00A56937" w:rsidP="00AB1C80">
      <w:pPr>
        <w:spacing w:line="276" w:lineRule="auto"/>
        <w:rPr>
          <w:rFonts w:cs="Arial"/>
          <w:color w:val="000000" w:themeColor="text1"/>
          <w:szCs w:val="24"/>
        </w:rPr>
      </w:pPr>
    </w:p>
    <w:p w14:paraId="4131FCB8" w14:textId="52D113D4" w:rsidR="00AB5005" w:rsidRPr="00AB1C80" w:rsidRDefault="00AB5005" w:rsidP="00AB1C80">
      <w:pPr>
        <w:spacing w:line="276" w:lineRule="auto"/>
        <w:rPr>
          <w:rFonts w:cs="Arial"/>
          <w:color w:val="000000" w:themeColor="text1"/>
          <w:szCs w:val="24"/>
        </w:rPr>
      </w:pPr>
      <w:r w:rsidRPr="00AB1C80">
        <w:rPr>
          <w:rFonts w:cs="Arial"/>
          <w:color w:val="000000" w:themeColor="text1"/>
          <w:szCs w:val="24"/>
        </w:rPr>
        <w:t xml:space="preserve">En el año 2021, el </w:t>
      </w:r>
      <w:r w:rsidRPr="00AB1C80">
        <w:rPr>
          <w:rFonts w:cs="Arial"/>
          <w:color w:val="000000" w:themeColor="text1"/>
          <w:szCs w:val="24"/>
          <w:u w:val="single"/>
        </w:rPr>
        <w:t>IFC -International Finance Corporation- World Bank Group</w:t>
      </w:r>
      <w:r w:rsidRPr="00AB1C80">
        <w:rPr>
          <w:rFonts w:cs="Arial"/>
          <w:color w:val="000000" w:themeColor="text1"/>
          <w:szCs w:val="24"/>
        </w:rPr>
        <w:t xml:space="preserve">, realizó </w:t>
      </w:r>
      <w:r w:rsidRPr="00AB1C80">
        <w:rPr>
          <w:rFonts w:cs="Arial"/>
          <w:i/>
          <w:iCs/>
          <w:color w:val="000000" w:themeColor="text1"/>
          <w:szCs w:val="24"/>
        </w:rPr>
        <w:t>el “Estudio del mercado circular de plásticos en Colombia”</w:t>
      </w:r>
      <w:r w:rsidRPr="00AB1C80">
        <w:rPr>
          <w:rFonts w:cs="Arial"/>
          <w:color w:val="000000" w:themeColor="text1"/>
          <w:szCs w:val="24"/>
        </w:rPr>
        <w:t xml:space="preserve">, este informe </w:t>
      </w:r>
      <w:r w:rsidRPr="00AB1C80">
        <w:rPr>
          <w:rFonts w:cs="Arial"/>
          <w:color w:val="000000" w:themeColor="text1"/>
          <w:szCs w:val="24"/>
        </w:rPr>
        <w:lastRenderedPageBreak/>
        <w:t>resume el uso y la reutilización de plásticos y proporciona una descripción general de las oportunidades para intervenciones del sector privado para mejorar la circularidad de los residuos plásticos en Colombia. El International Finance Corporation – IFC, junto con el Grupo del Banco Mundial, presta asesoría a diversos países con apoyo financiero para el cumplimiento de los objetivos de Desarrollo Sostenible; de ahí que IFC es líder en finanzas verdes y puede en este caso brindar asesoramiento sobre la circularidad de los plásticos y el cambio climático, cadenas de suministro de residuos, reducción de la huella de carbono, entre otros. Cobra importancia la metodología empleada que permite armonizar los lineamientos de política con el cumplimiento de los objetivos de Desarrollo Sostenible, relacionados con la economía circular.</w:t>
      </w:r>
    </w:p>
    <w:p w14:paraId="11C4DECC" w14:textId="77777777" w:rsidR="00AB5005" w:rsidRPr="00AB1C80" w:rsidRDefault="00AB5005" w:rsidP="00AB1C80">
      <w:pPr>
        <w:spacing w:line="276" w:lineRule="auto"/>
        <w:rPr>
          <w:rFonts w:cs="Arial"/>
          <w:color w:val="000000" w:themeColor="text1"/>
          <w:szCs w:val="24"/>
        </w:rPr>
      </w:pPr>
    </w:p>
    <w:p w14:paraId="2403F26F" w14:textId="185BCE2C" w:rsidR="0016679D" w:rsidRPr="00AB1C80" w:rsidRDefault="00D6434A" w:rsidP="00AB1C80">
      <w:pPr>
        <w:spacing w:line="276" w:lineRule="auto"/>
        <w:rPr>
          <w:rFonts w:cs="Arial"/>
          <w:color w:val="000000" w:themeColor="text1"/>
          <w:szCs w:val="24"/>
        </w:rPr>
      </w:pPr>
      <w:r w:rsidRPr="00AB1C80">
        <w:rPr>
          <w:rFonts w:cs="Arial"/>
          <w:color w:val="000000" w:themeColor="text1"/>
          <w:szCs w:val="24"/>
        </w:rPr>
        <w:t>En términos de guías y manuales para la implementación de la Economía Circular, e</w:t>
      </w:r>
      <w:r w:rsidR="003E4798" w:rsidRPr="00AB1C80">
        <w:rPr>
          <w:rFonts w:cs="Arial"/>
          <w:color w:val="000000" w:themeColor="text1"/>
          <w:szCs w:val="24"/>
        </w:rPr>
        <w:t xml:space="preserve">s necesario recalcar que en Colombia se han desarrollado algunas guías, una es la </w:t>
      </w:r>
      <w:r w:rsidR="003E4798" w:rsidRPr="00AB1C80">
        <w:rPr>
          <w:rFonts w:cs="Arial"/>
          <w:i/>
          <w:iCs/>
          <w:color w:val="000000" w:themeColor="text1"/>
          <w:szCs w:val="24"/>
        </w:rPr>
        <w:t>Guía Distrital para la transición hacia modelos de negocio circular</w:t>
      </w:r>
      <w:r w:rsidR="003E4798" w:rsidRPr="00AB1C80">
        <w:rPr>
          <w:rFonts w:cs="Arial"/>
          <w:color w:val="000000" w:themeColor="text1"/>
          <w:szCs w:val="24"/>
        </w:rPr>
        <w:t xml:space="preserve">, diseñada por la </w:t>
      </w:r>
      <w:r w:rsidR="003E4798" w:rsidRPr="00AB1C80">
        <w:rPr>
          <w:rFonts w:cs="Arial"/>
          <w:color w:val="000000" w:themeColor="text1"/>
          <w:szCs w:val="24"/>
          <w:u w:val="single"/>
        </w:rPr>
        <w:t xml:space="preserve">Secretaría Distrital de </w:t>
      </w:r>
      <w:r w:rsidR="003318DA" w:rsidRPr="00AB1C80">
        <w:rPr>
          <w:rFonts w:cs="Arial"/>
          <w:color w:val="000000" w:themeColor="text1"/>
          <w:szCs w:val="24"/>
          <w:u w:val="single"/>
        </w:rPr>
        <w:t>A</w:t>
      </w:r>
      <w:r w:rsidR="003E4798" w:rsidRPr="00AB1C80">
        <w:rPr>
          <w:rFonts w:cs="Arial"/>
          <w:color w:val="000000" w:themeColor="text1"/>
          <w:szCs w:val="24"/>
          <w:u w:val="single"/>
        </w:rPr>
        <w:t>mbiente en el 2020</w:t>
      </w:r>
      <w:r w:rsidR="003E4798" w:rsidRPr="00AB1C80">
        <w:rPr>
          <w:rFonts w:cs="Arial"/>
          <w:color w:val="000000" w:themeColor="text1"/>
          <w:szCs w:val="24"/>
        </w:rPr>
        <w:t xml:space="preserve">, </w:t>
      </w:r>
      <w:r w:rsidR="00E43B73" w:rsidRPr="00AB1C80">
        <w:rPr>
          <w:rFonts w:cs="Arial"/>
          <w:color w:val="000000" w:themeColor="text1"/>
          <w:szCs w:val="24"/>
        </w:rPr>
        <w:t>la cual se encuentra alineada con la Política Pública Distrital de Producción y Consumo Sostenible 2021-2038 de la ciudad de Bogotá</w:t>
      </w:r>
      <w:r w:rsidR="002F2DA3" w:rsidRPr="00AB1C80">
        <w:rPr>
          <w:rFonts w:cs="Arial"/>
          <w:color w:val="000000" w:themeColor="text1"/>
          <w:szCs w:val="24"/>
        </w:rPr>
        <w:t xml:space="preserve"> y que busca </w:t>
      </w:r>
      <w:r w:rsidR="00E43B73" w:rsidRPr="00AB1C80">
        <w:rPr>
          <w:rFonts w:cs="Arial"/>
          <w:color w:val="000000" w:themeColor="text1"/>
          <w:szCs w:val="24"/>
        </w:rPr>
        <w:t>desarrollar patrones sostenibles en la producción y consumo de la ciudad.</w:t>
      </w:r>
      <w:r w:rsidR="002F2DA3" w:rsidRPr="00AB1C80">
        <w:rPr>
          <w:rFonts w:cs="Arial"/>
          <w:color w:val="000000" w:themeColor="text1"/>
          <w:szCs w:val="24"/>
        </w:rPr>
        <w:t xml:space="preserve"> Así mismo e</w:t>
      </w:r>
      <w:r w:rsidR="00E43B73" w:rsidRPr="00AB1C80">
        <w:rPr>
          <w:rFonts w:cs="Arial"/>
          <w:color w:val="000000" w:themeColor="text1"/>
          <w:szCs w:val="24"/>
        </w:rPr>
        <w:t>n el Plan de Desarrollo Distrital 2020- 2024 “Un nuevo contrato social y ambiental para Bogotá del siglo XXI” el capítulo IV determina</w:t>
      </w:r>
      <w:r w:rsidR="002F2DA3" w:rsidRPr="00AB1C80">
        <w:rPr>
          <w:rFonts w:cs="Arial"/>
          <w:color w:val="000000" w:themeColor="text1"/>
          <w:szCs w:val="24"/>
        </w:rPr>
        <w:t>n</w:t>
      </w:r>
      <w:r w:rsidR="00E43B73" w:rsidRPr="00AB1C80">
        <w:rPr>
          <w:rFonts w:cs="Arial"/>
          <w:color w:val="000000" w:themeColor="text1"/>
          <w:szCs w:val="24"/>
        </w:rPr>
        <w:t xml:space="preserve"> los programas donde se encuentra inmerso la economía circular, estos son:</w:t>
      </w:r>
      <w:r w:rsidR="00550156" w:rsidRPr="00AB1C80">
        <w:rPr>
          <w:rFonts w:cs="Arial"/>
          <w:color w:val="000000" w:themeColor="text1"/>
          <w:szCs w:val="24"/>
        </w:rPr>
        <w:t xml:space="preserve"> </w:t>
      </w:r>
      <w:r w:rsidR="00E43B73" w:rsidRPr="00AB1C80">
        <w:rPr>
          <w:rFonts w:cs="Arial"/>
          <w:color w:val="000000" w:themeColor="text1"/>
          <w:szCs w:val="24"/>
        </w:rPr>
        <w:t>Programa 27 – Cambio Cultural para la gestión de la crisis climática</w:t>
      </w:r>
      <w:r w:rsidR="00550156" w:rsidRPr="00AB1C80">
        <w:rPr>
          <w:rFonts w:cs="Arial"/>
          <w:color w:val="000000" w:themeColor="text1"/>
          <w:szCs w:val="24"/>
        </w:rPr>
        <w:t xml:space="preserve"> y </w:t>
      </w:r>
      <w:r w:rsidR="00E43B73" w:rsidRPr="00AB1C80">
        <w:rPr>
          <w:rFonts w:cs="Arial"/>
          <w:color w:val="000000" w:themeColor="text1"/>
          <w:szCs w:val="24"/>
        </w:rPr>
        <w:t>Programa 38 – Ecoeficiencia, reciclaje, manejo de residuos e inclusión de la población recicladora.</w:t>
      </w:r>
      <w:r w:rsidR="00550156" w:rsidRPr="00AB1C80">
        <w:rPr>
          <w:rFonts w:cs="Arial"/>
          <w:color w:val="000000" w:themeColor="text1"/>
          <w:szCs w:val="24"/>
        </w:rPr>
        <w:t xml:space="preserve"> </w:t>
      </w:r>
    </w:p>
    <w:p w14:paraId="120E60CA" w14:textId="77777777" w:rsidR="0016679D" w:rsidRPr="00AB1C80" w:rsidRDefault="0016679D" w:rsidP="00AB1C80">
      <w:pPr>
        <w:spacing w:line="276" w:lineRule="auto"/>
        <w:rPr>
          <w:rFonts w:cs="Arial"/>
          <w:color w:val="000000" w:themeColor="text1"/>
          <w:szCs w:val="24"/>
        </w:rPr>
      </w:pPr>
    </w:p>
    <w:p w14:paraId="2D0BC380" w14:textId="5AEBA878" w:rsidR="00550156" w:rsidRPr="00AB1C80" w:rsidRDefault="00550156" w:rsidP="00AB1C80">
      <w:pPr>
        <w:spacing w:line="276" w:lineRule="auto"/>
        <w:rPr>
          <w:rFonts w:cs="Arial"/>
          <w:color w:val="000000" w:themeColor="text1"/>
        </w:rPr>
      </w:pPr>
      <w:r w:rsidRPr="00AB1C80">
        <w:rPr>
          <w:rFonts w:cs="Arial"/>
          <w:color w:val="000000" w:themeColor="text1"/>
          <w:szCs w:val="24"/>
        </w:rPr>
        <w:t xml:space="preserve">La </w:t>
      </w:r>
      <w:r w:rsidRPr="00AB1C80">
        <w:rPr>
          <w:rFonts w:cs="Arial"/>
          <w:i/>
          <w:iCs/>
          <w:color w:val="000000" w:themeColor="text1"/>
          <w:szCs w:val="24"/>
        </w:rPr>
        <w:t xml:space="preserve">Guía </w:t>
      </w:r>
      <w:r w:rsidR="0016679D" w:rsidRPr="00AB1C80">
        <w:rPr>
          <w:rFonts w:cs="Arial"/>
          <w:i/>
          <w:iCs/>
          <w:color w:val="000000" w:themeColor="text1"/>
          <w:szCs w:val="24"/>
        </w:rPr>
        <w:t>Distrital</w:t>
      </w:r>
      <w:r w:rsidR="0016679D" w:rsidRPr="00AB1C80">
        <w:rPr>
          <w:rFonts w:cs="Arial"/>
          <w:color w:val="000000" w:themeColor="text1"/>
        </w:rPr>
        <w:t xml:space="preserve"> propone una secuencia de fases en las que se integran diferentes metodologías que permiten a las organizaciones la transición a un modelo de economía circular. Las</w:t>
      </w:r>
      <w:r w:rsidR="00210EF2" w:rsidRPr="00AB1C80">
        <w:rPr>
          <w:rFonts w:cs="Arial"/>
          <w:color w:val="000000" w:themeColor="text1"/>
        </w:rPr>
        <w:t xml:space="preserve"> </w:t>
      </w:r>
      <w:r w:rsidR="0016679D" w:rsidRPr="00AB1C80">
        <w:rPr>
          <w:rFonts w:cs="Arial"/>
          <w:color w:val="000000" w:themeColor="text1"/>
        </w:rPr>
        <w:t xml:space="preserve">fases propuestas son: </w:t>
      </w:r>
      <w:r w:rsidR="0016679D" w:rsidRPr="00AB1C80">
        <w:rPr>
          <w:rFonts w:cs="Arial"/>
          <w:i/>
          <w:iCs/>
          <w:color w:val="000000" w:themeColor="text1"/>
        </w:rPr>
        <w:t>a. Comprender, b. Proponer, c. Prototipar o testear, d. Implementar, e. Medir progreso y f. Inspirar.</w:t>
      </w:r>
    </w:p>
    <w:p w14:paraId="294E5D33" w14:textId="124F37B1" w:rsidR="00787AC2" w:rsidRPr="00AB1C80" w:rsidRDefault="00787AC2" w:rsidP="00AB1C80">
      <w:pPr>
        <w:spacing w:line="276" w:lineRule="auto"/>
        <w:rPr>
          <w:rFonts w:cs="Arial"/>
          <w:color w:val="000000" w:themeColor="text1"/>
          <w:szCs w:val="24"/>
        </w:rPr>
      </w:pPr>
    </w:p>
    <w:p w14:paraId="470AED5E" w14:textId="1DFA5186" w:rsidR="00882561" w:rsidRPr="00AB1C80" w:rsidRDefault="003278D2" w:rsidP="00AB1C80">
      <w:pPr>
        <w:spacing w:line="276" w:lineRule="auto"/>
        <w:rPr>
          <w:rFonts w:cs="Arial"/>
          <w:color w:val="000000" w:themeColor="text1"/>
          <w:szCs w:val="24"/>
        </w:rPr>
      </w:pPr>
      <w:r w:rsidRPr="00AB1C80">
        <w:rPr>
          <w:rFonts w:cs="Arial"/>
          <w:color w:val="000000" w:themeColor="text1"/>
          <w:szCs w:val="24"/>
        </w:rPr>
        <w:t xml:space="preserve">En el año 2020, </w:t>
      </w:r>
      <w:r w:rsidRPr="00AB1C80">
        <w:rPr>
          <w:rFonts w:cs="Arial"/>
          <w:color w:val="000000" w:themeColor="text1"/>
          <w:szCs w:val="24"/>
          <w:u w:val="single"/>
        </w:rPr>
        <w:t>la agencia de emprendimiento e innovación del Gobierno Nacional, iNNpulsa Colombia</w:t>
      </w:r>
      <w:r w:rsidRPr="00AB1C80">
        <w:rPr>
          <w:rFonts w:cs="Arial"/>
          <w:color w:val="000000" w:themeColor="text1"/>
          <w:szCs w:val="24"/>
        </w:rPr>
        <w:t xml:space="preserve">, desarrolló un programa llamado </w:t>
      </w:r>
      <w:r w:rsidRPr="00AB1C80">
        <w:rPr>
          <w:rFonts w:cs="Arial"/>
          <w:i/>
          <w:iCs/>
          <w:color w:val="000000" w:themeColor="text1"/>
          <w:szCs w:val="24"/>
        </w:rPr>
        <w:t>“Activando la economía circular en tiempos de cambio</w:t>
      </w:r>
      <w:r w:rsidRPr="00AB1C80">
        <w:rPr>
          <w:rFonts w:cs="Arial"/>
          <w:color w:val="000000" w:themeColor="text1"/>
          <w:szCs w:val="24"/>
        </w:rPr>
        <w:t xml:space="preserve">” el cual busca promover emprendimientos e innovaciones basados en economía circular con un enfoque regional </w:t>
      </w:r>
      <w:r w:rsidR="00351191" w:rsidRPr="00AB1C80">
        <w:rPr>
          <w:rFonts w:cs="Arial"/>
          <w:color w:val="000000" w:themeColor="text1"/>
          <w:szCs w:val="24"/>
        </w:rPr>
        <w:t>de acuerdo con</w:t>
      </w:r>
      <w:r w:rsidRPr="00AB1C80">
        <w:rPr>
          <w:rFonts w:cs="Arial"/>
          <w:color w:val="000000" w:themeColor="text1"/>
          <w:szCs w:val="24"/>
        </w:rPr>
        <w:t xml:space="preserve"> los sectores priorizados por los diagnósticos de competitividad</w:t>
      </w:r>
      <w:r w:rsidR="00882561" w:rsidRPr="00AB1C80">
        <w:rPr>
          <w:rFonts w:cs="Arial"/>
          <w:color w:val="000000" w:themeColor="text1"/>
          <w:szCs w:val="24"/>
        </w:rPr>
        <w:t xml:space="preserve"> y cuyo principal objetivo es la construcción de redes operativas para la generación de valor desde la Economía Circular</w:t>
      </w:r>
      <w:r w:rsidRPr="00AB1C80">
        <w:rPr>
          <w:rFonts w:cs="Arial"/>
          <w:color w:val="000000" w:themeColor="text1"/>
          <w:szCs w:val="24"/>
        </w:rPr>
        <w:t>.</w:t>
      </w:r>
      <w:r w:rsidR="00E552A2" w:rsidRPr="00AB1C80">
        <w:rPr>
          <w:rFonts w:cs="Arial"/>
          <w:color w:val="000000" w:themeColor="text1"/>
          <w:szCs w:val="24"/>
        </w:rPr>
        <w:t xml:space="preserve"> El programa </w:t>
      </w:r>
      <w:r w:rsidR="00A518E9" w:rsidRPr="00AB1C80">
        <w:rPr>
          <w:rFonts w:cs="Arial"/>
          <w:color w:val="000000" w:themeColor="text1"/>
          <w:szCs w:val="24"/>
        </w:rPr>
        <w:t xml:space="preserve">fue lanzado en el mes de septiembre de 2020 y </w:t>
      </w:r>
      <w:r w:rsidR="00E552A2" w:rsidRPr="00AB1C80">
        <w:rPr>
          <w:rFonts w:cs="Arial"/>
          <w:color w:val="000000" w:themeColor="text1"/>
          <w:szCs w:val="24"/>
        </w:rPr>
        <w:t xml:space="preserve">está dirigido a Pymes y grandes empresas de los sectores de manufactura, </w:t>
      </w:r>
      <w:r w:rsidR="00E552A2" w:rsidRPr="00AB1C80">
        <w:rPr>
          <w:rFonts w:cs="Arial"/>
          <w:color w:val="000000" w:themeColor="text1"/>
          <w:szCs w:val="24"/>
        </w:rPr>
        <w:lastRenderedPageBreak/>
        <w:t>construcción y agricultura; las cuales deben estar constituidas legalmente y tener un propósito relacionado con la economía circular.</w:t>
      </w:r>
      <w:r w:rsidR="00882561" w:rsidRPr="00AB1C80">
        <w:rPr>
          <w:rFonts w:cs="Arial"/>
          <w:color w:val="000000" w:themeColor="text1"/>
          <w:szCs w:val="24"/>
        </w:rPr>
        <w:t xml:space="preserve"> </w:t>
      </w:r>
    </w:p>
    <w:p w14:paraId="27163DB3" w14:textId="1B49C276" w:rsidR="00B04C8B" w:rsidRPr="00AB1C80" w:rsidRDefault="00B04C8B" w:rsidP="00AB1C80">
      <w:pPr>
        <w:spacing w:line="276" w:lineRule="auto"/>
        <w:rPr>
          <w:rFonts w:cs="Arial"/>
          <w:color w:val="000000" w:themeColor="text1"/>
          <w:szCs w:val="24"/>
        </w:rPr>
      </w:pPr>
    </w:p>
    <w:p w14:paraId="6DEEB479" w14:textId="6A8D257C" w:rsidR="001F17BD" w:rsidRPr="00AB1C80" w:rsidRDefault="00B04C8B" w:rsidP="00AB1C80">
      <w:pPr>
        <w:spacing w:line="276" w:lineRule="auto"/>
        <w:rPr>
          <w:rFonts w:cs="Arial"/>
          <w:color w:val="000000" w:themeColor="text1"/>
          <w:szCs w:val="24"/>
        </w:rPr>
      </w:pPr>
      <w:r w:rsidRPr="00AB1C80">
        <w:rPr>
          <w:rFonts w:cs="Arial"/>
          <w:color w:val="000000" w:themeColor="text1"/>
          <w:szCs w:val="24"/>
        </w:rPr>
        <w:t xml:space="preserve">El </w:t>
      </w:r>
      <w:r w:rsidRPr="00AB1C80">
        <w:rPr>
          <w:rFonts w:cs="Arial"/>
          <w:color w:val="000000" w:themeColor="text1"/>
          <w:szCs w:val="24"/>
          <w:u w:val="single"/>
        </w:rPr>
        <w:t>Centro Nacional de Economía más limpia y Colombia Productiva</w:t>
      </w:r>
      <w:r w:rsidRPr="00AB1C80">
        <w:rPr>
          <w:rFonts w:cs="Arial"/>
          <w:color w:val="000000" w:themeColor="text1"/>
          <w:szCs w:val="24"/>
        </w:rPr>
        <w:t xml:space="preserve"> (creada por el Ministerio de Comercio, Industria y Turismo en el año 2008 con el fin de promover la productividad y competitividad en la industria), diseñaron </w:t>
      </w:r>
      <w:r w:rsidR="00AE6E5E" w:rsidRPr="00AB1C80">
        <w:rPr>
          <w:rFonts w:cs="Arial"/>
          <w:color w:val="000000" w:themeColor="text1"/>
          <w:szCs w:val="24"/>
        </w:rPr>
        <w:t xml:space="preserve">la Guía Empresarial </w:t>
      </w:r>
      <w:r w:rsidR="00AE6E5E" w:rsidRPr="00AB1C80">
        <w:rPr>
          <w:rFonts w:cs="Arial"/>
          <w:i/>
          <w:iCs/>
          <w:color w:val="000000" w:themeColor="text1"/>
          <w:szCs w:val="24"/>
        </w:rPr>
        <w:t>“Economía circular una forma diferente de hacer negocios sostenibles”,</w:t>
      </w:r>
      <w:r w:rsidR="00AE6E5E" w:rsidRPr="00AB1C80">
        <w:rPr>
          <w:rFonts w:cs="Arial"/>
          <w:color w:val="000000" w:themeColor="text1"/>
          <w:szCs w:val="24"/>
        </w:rPr>
        <w:t xml:space="preserve"> con el </w:t>
      </w:r>
      <w:r w:rsidR="00484850" w:rsidRPr="00AB1C80">
        <w:rPr>
          <w:rFonts w:cs="Arial"/>
          <w:color w:val="000000" w:themeColor="text1"/>
          <w:szCs w:val="24"/>
        </w:rPr>
        <w:t>fin de dar a conocer los mandamientos y los pasos a seguir para llegar a establecer una economía circular en las diferentes empresas.</w:t>
      </w:r>
      <w:r w:rsidR="001F17BD" w:rsidRPr="00AB1C80">
        <w:rPr>
          <w:rFonts w:cs="Arial"/>
          <w:color w:val="000000" w:themeColor="text1"/>
          <w:szCs w:val="24"/>
        </w:rPr>
        <w:t xml:space="preserve"> La guía establece que para implementar la economía circular en una empresa se debe llevar a cabo 5 pasos: </w:t>
      </w:r>
    </w:p>
    <w:p w14:paraId="43E3EB0D" w14:textId="77777777" w:rsidR="001F17BD" w:rsidRPr="00AB1C80" w:rsidRDefault="001F17BD" w:rsidP="00AB1C80">
      <w:pPr>
        <w:spacing w:line="276" w:lineRule="auto"/>
        <w:rPr>
          <w:rFonts w:cs="Arial"/>
          <w:color w:val="000000" w:themeColor="text1"/>
          <w:szCs w:val="24"/>
        </w:rPr>
      </w:pPr>
    </w:p>
    <w:p w14:paraId="23D42435" w14:textId="480DA13F" w:rsidR="00B04C8B" w:rsidRPr="00AB1C80" w:rsidRDefault="001F17BD" w:rsidP="00AB1C80">
      <w:pPr>
        <w:pStyle w:val="Prrafodelista"/>
        <w:numPr>
          <w:ilvl w:val="0"/>
          <w:numId w:val="6"/>
        </w:numPr>
        <w:spacing w:line="276" w:lineRule="auto"/>
        <w:rPr>
          <w:rFonts w:cs="Arial"/>
          <w:color w:val="000000" w:themeColor="text1"/>
          <w:szCs w:val="24"/>
        </w:rPr>
      </w:pPr>
      <w:r w:rsidRPr="00AB1C80">
        <w:rPr>
          <w:rFonts w:cs="Arial"/>
          <w:color w:val="000000" w:themeColor="text1"/>
          <w:szCs w:val="24"/>
        </w:rPr>
        <w:t>Generar posibles oportunidades de la economía circular para la empresa</w:t>
      </w:r>
    </w:p>
    <w:p w14:paraId="4DEFC600" w14:textId="471C3307" w:rsidR="001F17BD" w:rsidRPr="00AB1C80" w:rsidRDefault="001F17BD" w:rsidP="00AB1C80">
      <w:pPr>
        <w:pStyle w:val="Prrafodelista"/>
        <w:numPr>
          <w:ilvl w:val="0"/>
          <w:numId w:val="6"/>
        </w:numPr>
        <w:spacing w:line="276" w:lineRule="auto"/>
        <w:rPr>
          <w:rFonts w:cs="Arial"/>
          <w:color w:val="000000" w:themeColor="text1"/>
          <w:szCs w:val="24"/>
        </w:rPr>
      </w:pPr>
      <w:r w:rsidRPr="00AB1C80">
        <w:rPr>
          <w:rFonts w:cs="Arial"/>
          <w:color w:val="000000" w:themeColor="text1"/>
          <w:szCs w:val="24"/>
        </w:rPr>
        <w:t>Determinar estrategias de economía circular y oportunidades de interés para la empresa</w:t>
      </w:r>
    </w:p>
    <w:p w14:paraId="4E97F7E4" w14:textId="0A28EC66" w:rsidR="001F17BD" w:rsidRPr="00AB1C80" w:rsidRDefault="001F17BD" w:rsidP="00AB1C80">
      <w:pPr>
        <w:pStyle w:val="Prrafodelista"/>
        <w:numPr>
          <w:ilvl w:val="0"/>
          <w:numId w:val="6"/>
        </w:numPr>
        <w:spacing w:line="276" w:lineRule="auto"/>
        <w:rPr>
          <w:rFonts w:cs="Arial"/>
          <w:color w:val="000000" w:themeColor="text1"/>
          <w:szCs w:val="24"/>
        </w:rPr>
      </w:pPr>
      <w:r w:rsidRPr="00AB1C80">
        <w:rPr>
          <w:rFonts w:cs="Arial"/>
          <w:color w:val="000000" w:themeColor="text1"/>
          <w:szCs w:val="24"/>
        </w:rPr>
        <w:t>Elaborar un mapa de oportunidades de economía circular identificadas</w:t>
      </w:r>
    </w:p>
    <w:p w14:paraId="5A87CF82" w14:textId="004A3A5D" w:rsidR="001F17BD" w:rsidRPr="00AB1C80" w:rsidRDefault="001F17BD" w:rsidP="00AB1C80">
      <w:pPr>
        <w:pStyle w:val="Prrafodelista"/>
        <w:numPr>
          <w:ilvl w:val="0"/>
          <w:numId w:val="6"/>
        </w:numPr>
        <w:spacing w:line="276" w:lineRule="auto"/>
        <w:rPr>
          <w:rFonts w:cs="Arial"/>
          <w:color w:val="000000" w:themeColor="text1"/>
          <w:szCs w:val="24"/>
        </w:rPr>
      </w:pPr>
      <w:r w:rsidRPr="00AB1C80">
        <w:rPr>
          <w:rFonts w:cs="Arial"/>
          <w:color w:val="000000" w:themeColor="text1"/>
          <w:szCs w:val="24"/>
        </w:rPr>
        <w:t>Establecer una hoja de ruta para implementar la economía circular en la empresa</w:t>
      </w:r>
    </w:p>
    <w:p w14:paraId="6C1C301A" w14:textId="07BC35CD" w:rsidR="001F17BD" w:rsidRPr="00AB1C80" w:rsidRDefault="001F17BD" w:rsidP="00AB1C80">
      <w:pPr>
        <w:pStyle w:val="Prrafodelista"/>
        <w:numPr>
          <w:ilvl w:val="0"/>
          <w:numId w:val="6"/>
        </w:numPr>
        <w:spacing w:line="276" w:lineRule="auto"/>
        <w:rPr>
          <w:rFonts w:cs="Arial"/>
          <w:color w:val="000000" w:themeColor="text1"/>
          <w:szCs w:val="24"/>
        </w:rPr>
      </w:pPr>
      <w:r w:rsidRPr="00AB1C80">
        <w:rPr>
          <w:rFonts w:cs="Arial"/>
          <w:color w:val="000000" w:themeColor="text1"/>
          <w:szCs w:val="24"/>
        </w:rPr>
        <w:t>Elaborar un plan de monitoreo y seguimiento para las metas circulares establecidas</w:t>
      </w:r>
    </w:p>
    <w:p w14:paraId="21138BCA" w14:textId="2E883960" w:rsidR="00882561" w:rsidRPr="00AB1C80" w:rsidRDefault="00882561" w:rsidP="00AB1C80">
      <w:pPr>
        <w:spacing w:line="276" w:lineRule="auto"/>
        <w:rPr>
          <w:rFonts w:cs="Arial"/>
          <w:color w:val="000000" w:themeColor="text1"/>
          <w:szCs w:val="24"/>
        </w:rPr>
      </w:pPr>
    </w:p>
    <w:p w14:paraId="3B0DDFCF" w14:textId="54F5091E" w:rsidR="00B6364C" w:rsidRPr="00AB1C80" w:rsidRDefault="00B6364C" w:rsidP="00AB1C80">
      <w:pPr>
        <w:spacing w:line="276" w:lineRule="auto"/>
        <w:rPr>
          <w:rFonts w:cs="Arial"/>
          <w:b/>
          <w:bCs/>
          <w:color w:val="000000" w:themeColor="text1"/>
          <w:szCs w:val="24"/>
        </w:rPr>
      </w:pPr>
      <w:r w:rsidRPr="00AB1C80">
        <w:rPr>
          <w:rFonts w:cs="Arial"/>
          <w:color w:val="000000" w:themeColor="text1"/>
          <w:szCs w:val="24"/>
        </w:rPr>
        <w:t xml:space="preserve">En el año 2019, el </w:t>
      </w:r>
      <w:r w:rsidRPr="00AB1C80">
        <w:rPr>
          <w:rFonts w:cs="Arial"/>
          <w:color w:val="000000" w:themeColor="text1"/>
          <w:szCs w:val="24"/>
          <w:u w:val="single"/>
        </w:rPr>
        <w:t>Ministerio de Ambiente y Desarrollo Sostenible y el Ministerio de Comercio, Industria y Turismo</w:t>
      </w:r>
      <w:r w:rsidRPr="00AB1C80">
        <w:rPr>
          <w:rFonts w:cs="Arial"/>
          <w:color w:val="000000" w:themeColor="text1"/>
          <w:szCs w:val="24"/>
        </w:rPr>
        <w:t xml:space="preserve">, establecen la principal herramienta para la implementación de la economía circular en Colombia, </w:t>
      </w:r>
      <w:r w:rsidR="00AD7FD0" w:rsidRPr="00AB1C80">
        <w:rPr>
          <w:rFonts w:cs="Arial"/>
          <w:color w:val="000000" w:themeColor="text1"/>
          <w:szCs w:val="24"/>
        </w:rPr>
        <w:t xml:space="preserve">la </w:t>
      </w:r>
      <w:r w:rsidR="00AD7FD0" w:rsidRPr="00AB1C80">
        <w:rPr>
          <w:rFonts w:cs="Arial"/>
          <w:b/>
          <w:bCs/>
          <w:i/>
          <w:iCs/>
          <w:color w:val="000000" w:themeColor="text1"/>
          <w:szCs w:val="24"/>
        </w:rPr>
        <w:t xml:space="preserve">Estrategia Nacional de Economía Circular </w:t>
      </w:r>
      <w:r w:rsidRPr="00AB1C80">
        <w:rPr>
          <w:rFonts w:cs="Arial"/>
          <w:b/>
          <w:bCs/>
          <w:i/>
          <w:iCs/>
          <w:color w:val="000000" w:themeColor="text1"/>
          <w:szCs w:val="24"/>
        </w:rPr>
        <w:t>“Cierre de ciclos materiales innovación, tecnología, colaboración y nuevos modelos de negocio”</w:t>
      </w:r>
      <w:r w:rsidR="00AD7FD0" w:rsidRPr="00AB1C80">
        <w:rPr>
          <w:rFonts w:cs="Arial"/>
          <w:b/>
          <w:bCs/>
          <w:i/>
          <w:iCs/>
          <w:color w:val="000000" w:themeColor="text1"/>
          <w:szCs w:val="24"/>
        </w:rPr>
        <w:t xml:space="preserve">. </w:t>
      </w:r>
    </w:p>
    <w:p w14:paraId="20C896AA" w14:textId="6E7FBDD6" w:rsidR="00B6364C" w:rsidRPr="00AB1C80" w:rsidRDefault="00B6364C" w:rsidP="00AB1C80">
      <w:pPr>
        <w:spacing w:line="276" w:lineRule="auto"/>
        <w:rPr>
          <w:rFonts w:cs="Arial"/>
          <w:color w:val="000000" w:themeColor="text1"/>
          <w:szCs w:val="24"/>
        </w:rPr>
      </w:pPr>
    </w:p>
    <w:p w14:paraId="2F4933C4" w14:textId="0BD609B4" w:rsidR="00546AEB" w:rsidRPr="00AB1C80" w:rsidRDefault="00546AEB" w:rsidP="00AB1C80">
      <w:pPr>
        <w:spacing w:line="276" w:lineRule="auto"/>
        <w:rPr>
          <w:rFonts w:cs="Arial"/>
          <w:color w:val="000000" w:themeColor="text1"/>
          <w:szCs w:val="24"/>
        </w:rPr>
      </w:pPr>
      <w:r w:rsidRPr="00AB1C80">
        <w:rPr>
          <w:rFonts w:cs="Arial"/>
          <w:color w:val="000000" w:themeColor="text1"/>
          <w:szCs w:val="24"/>
        </w:rPr>
        <w:t xml:space="preserve">El desarrollo de la Estrategia Nacional de Economía Circular </w:t>
      </w:r>
      <w:r w:rsidR="00C5368C" w:rsidRPr="00AB1C80">
        <w:rPr>
          <w:rFonts w:cs="Arial"/>
          <w:color w:val="000000" w:themeColor="text1"/>
          <w:szCs w:val="24"/>
        </w:rPr>
        <w:t xml:space="preserve">(ENEC) </w:t>
      </w:r>
      <w:r w:rsidRPr="00AB1C80">
        <w:rPr>
          <w:rFonts w:cs="Arial"/>
          <w:color w:val="000000" w:themeColor="text1"/>
          <w:szCs w:val="24"/>
        </w:rPr>
        <w:t>involucró un proceso de concertación entre diversos actores del sector público y privado, academia y sociedad civil, relacionados con la transformación de los sistemas productivos. Así mismo contó con la participación de distintos ministerios acompañados por el Departamento Nacional de Planeación</w:t>
      </w:r>
      <w:r w:rsidR="00357C16" w:rsidRPr="00AB1C80">
        <w:rPr>
          <w:rFonts w:cs="Arial"/>
          <w:color w:val="000000" w:themeColor="text1"/>
          <w:szCs w:val="24"/>
        </w:rPr>
        <w:t xml:space="preserve"> </w:t>
      </w:r>
      <w:r w:rsidRPr="00AB1C80">
        <w:rPr>
          <w:rFonts w:cs="Arial"/>
          <w:color w:val="000000" w:themeColor="text1"/>
          <w:szCs w:val="24"/>
        </w:rPr>
        <w:t>-DNP y el Departamento Administrativo Nacional de Estadística –DANE.</w:t>
      </w:r>
    </w:p>
    <w:p w14:paraId="567F1712" w14:textId="64A4DF95" w:rsidR="00546AEB" w:rsidRPr="00AB1C80" w:rsidRDefault="00546AEB" w:rsidP="00AB1C80">
      <w:pPr>
        <w:spacing w:line="276" w:lineRule="auto"/>
        <w:rPr>
          <w:rFonts w:cs="Arial"/>
          <w:color w:val="000000" w:themeColor="text1"/>
          <w:szCs w:val="24"/>
        </w:rPr>
      </w:pPr>
    </w:p>
    <w:p w14:paraId="126D6DEB" w14:textId="573EF4C9" w:rsidR="00CD6039" w:rsidRPr="00AB1C80" w:rsidRDefault="00CD6039" w:rsidP="00AB1C80">
      <w:pPr>
        <w:spacing w:line="276" w:lineRule="auto"/>
        <w:rPr>
          <w:rFonts w:cs="Arial"/>
          <w:color w:val="000000" w:themeColor="text1"/>
          <w:szCs w:val="24"/>
        </w:rPr>
      </w:pPr>
      <w:r w:rsidRPr="00AB1C80">
        <w:rPr>
          <w:rFonts w:cs="Arial"/>
          <w:color w:val="000000" w:themeColor="text1"/>
          <w:szCs w:val="24"/>
        </w:rPr>
        <w:t xml:space="preserve">Dentro de la Estrategia Nacional de Economía Circular se plantean diferentes mecanismos de gestión y política pública a partir de los cuales las entidades del Estado facilitan la transformación hacia la economía </w:t>
      </w:r>
      <w:r w:rsidR="00DD45F3" w:rsidRPr="00AB1C80">
        <w:rPr>
          <w:rFonts w:cs="Arial"/>
          <w:color w:val="000000" w:themeColor="text1"/>
          <w:szCs w:val="24"/>
        </w:rPr>
        <w:t>circular:</w:t>
      </w:r>
      <w:r w:rsidRPr="00AB1C80">
        <w:rPr>
          <w:rFonts w:cs="Arial"/>
          <w:color w:val="000000" w:themeColor="text1"/>
          <w:szCs w:val="24"/>
        </w:rPr>
        <w:t xml:space="preserve"> </w:t>
      </w:r>
    </w:p>
    <w:p w14:paraId="0B1E8640" w14:textId="77777777" w:rsidR="00CD6039" w:rsidRPr="00AB1C80" w:rsidRDefault="00CD6039" w:rsidP="00AB1C80">
      <w:pPr>
        <w:spacing w:line="276" w:lineRule="auto"/>
        <w:rPr>
          <w:rFonts w:cs="Arial"/>
          <w:color w:val="000000" w:themeColor="text1"/>
          <w:szCs w:val="24"/>
        </w:rPr>
      </w:pPr>
    </w:p>
    <w:p w14:paraId="40ECD11B" w14:textId="26C52D12" w:rsidR="008A76BE" w:rsidRPr="00AB1C80" w:rsidRDefault="00CD6039" w:rsidP="00AB1C80">
      <w:pPr>
        <w:numPr>
          <w:ilvl w:val="0"/>
          <w:numId w:val="7"/>
        </w:numPr>
        <w:spacing w:line="276" w:lineRule="auto"/>
        <w:rPr>
          <w:rFonts w:cs="Arial"/>
          <w:color w:val="000000" w:themeColor="text1"/>
          <w:szCs w:val="24"/>
        </w:rPr>
      </w:pPr>
      <w:r w:rsidRPr="00AB1C80">
        <w:rPr>
          <w:rFonts w:cs="Arial"/>
          <w:b/>
          <w:bCs/>
          <w:color w:val="000000" w:themeColor="text1"/>
          <w:szCs w:val="24"/>
        </w:rPr>
        <w:t>Innovación en mecanismos normativos</w:t>
      </w:r>
      <w:r w:rsidRPr="00AB1C80">
        <w:rPr>
          <w:rFonts w:cs="Arial"/>
          <w:color w:val="000000" w:themeColor="text1"/>
          <w:szCs w:val="24"/>
        </w:rPr>
        <w:t xml:space="preserve"> que impulsan a empresas y nuevos emprendimientos a cambiar sus sistemas de producción y supera</w:t>
      </w:r>
      <w:r w:rsidR="008A76BE" w:rsidRPr="00AB1C80">
        <w:rPr>
          <w:rFonts w:cs="Arial"/>
          <w:color w:val="000000" w:themeColor="text1"/>
          <w:szCs w:val="24"/>
        </w:rPr>
        <w:t>r</w:t>
      </w:r>
      <w:r w:rsidRPr="00AB1C80">
        <w:rPr>
          <w:rFonts w:cs="Arial"/>
          <w:color w:val="000000" w:themeColor="text1"/>
          <w:szCs w:val="24"/>
        </w:rPr>
        <w:t xml:space="preserve"> </w:t>
      </w:r>
      <w:r w:rsidRPr="00AB1C80">
        <w:rPr>
          <w:rFonts w:cs="Arial"/>
          <w:color w:val="000000" w:themeColor="text1"/>
          <w:szCs w:val="24"/>
        </w:rPr>
        <w:lastRenderedPageBreak/>
        <w:t xml:space="preserve">barreras para el cambio. </w:t>
      </w:r>
      <w:r w:rsidR="008A76BE" w:rsidRPr="00AB1C80">
        <w:rPr>
          <w:rFonts w:cs="Arial"/>
          <w:color w:val="000000" w:themeColor="text1"/>
        </w:rPr>
        <w:t>El desarrollo de la normatividad y regulación debe ir acompañado de programas de capacitación de los profesionales de las entidades encargadas de su expedición, control o seguimiento.</w:t>
      </w:r>
    </w:p>
    <w:p w14:paraId="50807BCF" w14:textId="77777777" w:rsidR="008A76BE" w:rsidRPr="00AB1C80" w:rsidRDefault="008A76BE" w:rsidP="00AB1C80">
      <w:pPr>
        <w:spacing w:line="276" w:lineRule="auto"/>
        <w:rPr>
          <w:rFonts w:cs="Arial"/>
          <w:color w:val="000000" w:themeColor="text1"/>
          <w:szCs w:val="24"/>
        </w:rPr>
      </w:pPr>
    </w:p>
    <w:p w14:paraId="609F56C7" w14:textId="48931158" w:rsidR="00DD45F3" w:rsidRPr="00AB1C80" w:rsidRDefault="00CD6039" w:rsidP="00AB1C80">
      <w:pPr>
        <w:numPr>
          <w:ilvl w:val="0"/>
          <w:numId w:val="7"/>
        </w:numPr>
        <w:spacing w:line="276" w:lineRule="auto"/>
        <w:rPr>
          <w:rFonts w:cs="Arial"/>
          <w:color w:val="000000" w:themeColor="text1"/>
          <w:szCs w:val="24"/>
        </w:rPr>
      </w:pPr>
      <w:r w:rsidRPr="00AB1C80">
        <w:rPr>
          <w:rFonts w:cs="Arial"/>
          <w:color w:val="000000" w:themeColor="text1"/>
          <w:szCs w:val="24"/>
        </w:rPr>
        <w:t xml:space="preserve">La gestión de </w:t>
      </w:r>
      <w:r w:rsidRPr="00AB1C80">
        <w:rPr>
          <w:rFonts w:cs="Arial"/>
          <w:b/>
          <w:bCs/>
          <w:color w:val="000000" w:themeColor="text1"/>
          <w:szCs w:val="24"/>
        </w:rPr>
        <w:t>incentivos</w:t>
      </w:r>
      <w:r w:rsidRPr="00AB1C80">
        <w:rPr>
          <w:rFonts w:cs="Arial"/>
          <w:color w:val="000000" w:themeColor="text1"/>
          <w:szCs w:val="24"/>
        </w:rPr>
        <w:t xml:space="preserve"> que promuevan procesos de transformación de sistemas industriales y agrícolas a través de apoyos en capacitación y asistencia técnica.</w:t>
      </w:r>
      <w:r w:rsidR="00DD45F3" w:rsidRPr="00AB1C80">
        <w:rPr>
          <w:rFonts w:cs="Arial"/>
          <w:color w:val="000000" w:themeColor="text1"/>
          <w:szCs w:val="24"/>
        </w:rPr>
        <w:t xml:space="preserve"> </w:t>
      </w:r>
      <w:r w:rsidR="00DD45F3" w:rsidRPr="00AB1C80">
        <w:rPr>
          <w:rFonts w:cs="Arial"/>
          <w:color w:val="000000" w:themeColor="text1"/>
        </w:rPr>
        <w:t>Asistencia y acompañamiento técnico, crédito con condiciones favorables, apoyo económico tipo capital semilla para emprendimientos, incentivos tributarios como los que dispone la Ley de Financiamiento para las inversiones en eficiencia energética, entre otras.</w:t>
      </w:r>
    </w:p>
    <w:p w14:paraId="66BBA4FD" w14:textId="77777777" w:rsidR="00DD45F3" w:rsidRPr="00AB1C80" w:rsidRDefault="00DD45F3" w:rsidP="00AB1C80">
      <w:pPr>
        <w:spacing w:line="276" w:lineRule="auto"/>
        <w:rPr>
          <w:rFonts w:cs="Arial"/>
          <w:color w:val="000000" w:themeColor="text1"/>
          <w:szCs w:val="24"/>
        </w:rPr>
      </w:pPr>
    </w:p>
    <w:p w14:paraId="369BA10E" w14:textId="68ED203E" w:rsidR="000263E3" w:rsidRPr="00AB1C80" w:rsidRDefault="00CD6039" w:rsidP="00AB1C80">
      <w:pPr>
        <w:numPr>
          <w:ilvl w:val="0"/>
          <w:numId w:val="7"/>
        </w:numPr>
        <w:spacing w:line="276" w:lineRule="auto"/>
        <w:rPr>
          <w:rFonts w:cs="Arial"/>
          <w:color w:val="000000" w:themeColor="text1"/>
          <w:szCs w:val="24"/>
        </w:rPr>
      </w:pPr>
      <w:r w:rsidRPr="00AB1C80">
        <w:rPr>
          <w:rFonts w:cs="Arial"/>
          <w:color w:val="000000" w:themeColor="text1"/>
          <w:szCs w:val="24"/>
        </w:rPr>
        <w:t xml:space="preserve">La promoción de la </w:t>
      </w:r>
      <w:r w:rsidRPr="00AB1C80">
        <w:rPr>
          <w:rFonts w:cs="Arial"/>
          <w:b/>
          <w:bCs/>
          <w:color w:val="000000" w:themeColor="text1"/>
          <w:szCs w:val="24"/>
        </w:rPr>
        <w:t>investigación, la innovación y la generación de conocimiento</w:t>
      </w:r>
      <w:r w:rsidR="005C5924" w:rsidRPr="00AB1C80">
        <w:rPr>
          <w:rFonts w:cs="Arial"/>
          <w:color w:val="000000" w:themeColor="text1"/>
        </w:rPr>
        <w:t xml:space="preserve"> </w:t>
      </w:r>
      <w:r w:rsidR="0033588E" w:rsidRPr="00AB1C80">
        <w:rPr>
          <w:rFonts w:cs="Arial"/>
          <w:color w:val="000000" w:themeColor="text1"/>
        </w:rPr>
        <w:t>son ingredientes esenciales para la transición hacia la circularidad.</w:t>
      </w:r>
      <w:r w:rsidR="000263E3" w:rsidRPr="00AB1C80">
        <w:rPr>
          <w:rFonts w:cs="Arial"/>
          <w:color w:val="000000" w:themeColor="text1"/>
        </w:rPr>
        <w:t xml:space="preserve"> Para fomentar la investigación en tecnologías y nuevos modelos de negocio para la economía circular, los principios de esta estrategia se integran en los programas, prioridades y criterios del Sistema Nacional de Ciencia, Tecnología e innovación por el Departamento Administrativo de Ciencia, Tecnología e Innovación -Colciencias. También se requiere una base de datos actualizada y sistematizada sobre oferentes de tecnologías y servicios para la economía circular, bolsas de residuos que promuevan el intercambio de materiales, como por ejemplo la plataforma Bolsa Nacional de Residuos y Subproductos Industriales (BORSI) del Centro Nacional de Producción más Limpia.</w:t>
      </w:r>
    </w:p>
    <w:p w14:paraId="421426B1" w14:textId="77777777" w:rsidR="0033588E" w:rsidRPr="00AB1C80" w:rsidRDefault="0033588E" w:rsidP="00AB1C80">
      <w:pPr>
        <w:spacing w:line="276" w:lineRule="auto"/>
        <w:rPr>
          <w:rFonts w:cs="Arial"/>
          <w:color w:val="000000" w:themeColor="text1"/>
          <w:szCs w:val="24"/>
        </w:rPr>
      </w:pPr>
    </w:p>
    <w:p w14:paraId="63797778" w14:textId="49D8E3A0" w:rsidR="003943BD" w:rsidRPr="00AB1C80" w:rsidRDefault="00CD6039" w:rsidP="00AB1C80">
      <w:pPr>
        <w:numPr>
          <w:ilvl w:val="0"/>
          <w:numId w:val="7"/>
        </w:numPr>
        <w:spacing w:line="276" w:lineRule="auto"/>
        <w:rPr>
          <w:rFonts w:cs="Arial"/>
          <w:color w:val="000000" w:themeColor="text1"/>
          <w:szCs w:val="24"/>
        </w:rPr>
      </w:pPr>
      <w:r w:rsidRPr="00AB1C80">
        <w:rPr>
          <w:rFonts w:cs="Arial"/>
          <w:color w:val="000000" w:themeColor="text1"/>
          <w:szCs w:val="24"/>
        </w:rPr>
        <w:t xml:space="preserve">La </w:t>
      </w:r>
      <w:r w:rsidRPr="00AB1C80">
        <w:rPr>
          <w:rFonts w:cs="Arial"/>
          <w:b/>
          <w:bCs/>
          <w:color w:val="000000" w:themeColor="text1"/>
          <w:szCs w:val="24"/>
        </w:rPr>
        <w:t>cooperación internacional</w:t>
      </w:r>
      <w:r w:rsidRPr="00AB1C80">
        <w:rPr>
          <w:rFonts w:cs="Arial"/>
          <w:color w:val="000000" w:themeColor="text1"/>
          <w:szCs w:val="24"/>
        </w:rPr>
        <w:t xml:space="preserve"> que facilita la transferencia de tecnología y experiencias de otros países.</w:t>
      </w:r>
      <w:r w:rsidR="00281ADD" w:rsidRPr="00AB1C80">
        <w:rPr>
          <w:rFonts w:cs="Arial"/>
          <w:color w:val="000000" w:themeColor="text1"/>
          <w:szCs w:val="24"/>
        </w:rPr>
        <w:t xml:space="preserve"> </w:t>
      </w:r>
      <w:r w:rsidR="00281ADD" w:rsidRPr="00AB1C80">
        <w:rPr>
          <w:rFonts w:cs="Arial"/>
          <w:color w:val="000000" w:themeColor="text1"/>
        </w:rPr>
        <w:t>Es importante que el proceso de transición en Colombia se conecte con las tendencias de la economía circular a nivel global. En primera instancia, la normatividad relacionada con la economía circular debe estar alineada con las tendencias en países pares, porque potencia el comercio internacional con criterios de sostenibilidad y permite compartir conocimientos y buenas prácticas. Seguidamente, la economía circular brinda oportunidades de exportación para empresas colombianas que logren diferenciarse en términos de valor ambiental, social y económico.</w:t>
      </w:r>
      <w:r w:rsidR="003943BD" w:rsidRPr="00AB1C80">
        <w:rPr>
          <w:rFonts w:cs="Arial"/>
          <w:color w:val="000000" w:themeColor="text1"/>
          <w:szCs w:val="24"/>
        </w:rPr>
        <w:t xml:space="preserve"> </w:t>
      </w:r>
      <w:r w:rsidR="003943BD" w:rsidRPr="00AB1C80">
        <w:rPr>
          <w:rFonts w:cs="Arial"/>
          <w:color w:val="000000" w:themeColor="text1"/>
        </w:rPr>
        <w:t>Un tercer aspecto no menos importante, Colombia debe reportar la información sobre el avance de la circularidad de su economía en las evaluaciones de la OCDE y de los Objetivos de Desarrollo sostenible.</w:t>
      </w:r>
    </w:p>
    <w:p w14:paraId="6769009A" w14:textId="77777777" w:rsidR="00281ADD" w:rsidRPr="00AB1C80" w:rsidRDefault="00281ADD" w:rsidP="00AB1C80">
      <w:pPr>
        <w:spacing w:line="276" w:lineRule="auto"/>
        <w:rPr>
          <w:rFonts w:cs="Arial"/>
          <w:color w:val="000000" w:themeColor="text1"/>
          <w:szCs w:val="24"/>
        </w:rPr>
      </w:pPr>
    </w:p>
    <w:p w14:paraId="4F5C12F0" w14:textId="5DE66324" w:rsidR="00CB6F07" w:rsidRPr="00AB1C80" w:rsidRDefault="00CD6039" w:rsidP="00AB1C80">
      <w:pPr>
        <w:numPr>
          <w:ilvl w:val="0"/>
          <w:numId w:val="7"/>
        </w:numPr>
        <w:spacing w:line="276" w:lineRule="auto"/>
        <w:rPr>
          <w:rFonts w:cs="Arial"/>
          <w:color w:val="000000" w:themeColor="text1"/>
          <w:szCs w:val="24"/>
        </w:rPr>
      </w:pPr>
      <w:r w:rsidRPr="00AB1C80">
        <w:rPr>
          <w:rFonts w:cs="Arial"/>
          <w:color w:val="000000" w:themeColor="text1"/>
          <w:szCs w:val="24"/>
        </w:rPr>
        <w:t xml:space="preserve">El desarrollo de un </w:t>
      </w:r>
      <w:r w:rsidRPr="00AB1C80">
        <w:rPr>
          <w:rFonts w:cs="Arial"/>
          <w:b/>
          <w:bCs/>
          <w:color w:val="000000" w:themeColor="text1"/>
          <w:szCs w:val="24"/>
        </w:rPr>
        <w:t>sistema de información</w:t>
      </w:r>
      <w:r w:rsidRPr="00AB1C80">
        <w:rPr>
          <w:rFonts w:cs="Arial"/>
          <w:color w:val="000000" w:themeColor="text1"/>
          <w:szCs w:val="24"/>
        </w:rPr>
        <w:t xml:space="preserve"> sobre economía circular para el seguimiento a la implementación de la Estrategia y la medición del avance </w:t>
      </w:r>
      <w:r w:rsidRPr="00AB1C80">
        <w:rPr>
          <w:rFonts w:cs="Arial"/>
          <w:color w:val="000000" w:themeColor="text1"/>
          <w:szCs w:val="24"/>
        </w:rPr>
        <w:lastRenderedPageBreak/>
        <w:t>del país en la materia, a partir de datos y estadísticas científico-técnicas.</w:t>
      </w:r>
      <w:r w:rsidR="00CB6F07" w:rsidRPr="00AB1C80">
        <w:rPr>
          <w:rFonts w:cs="Arial"/>
          <w:color w:val="000000" w:themeColor="text1"/>
          <w:szCs w:val="24"/>
        </w:rPr>
        <w:t xml:space="preserve"> </w:t>
      </w:r>
      <w:r w:rsidR="00CB6F07" w:rsidRPr="00AB1C80">
        <w:rPr>
          <w:rFonts w:cs="Arial"/>
          <w:color w:val="000000" w:themeColor="text1"/>
        </w:rPr>
        <w:t>Dicho sistema es un conjunto articulado de componentes que interactúan entre sí para recopilar, consolidar, procesar, producir y difundir la información estadística y científico- técnica relacionada con la economía circular.</w:t>
      </w:r>
    </w:p>
    <w:p w14:paraId="6A76389D" w14:textId="77777777" w:rsidR="00170DC5" w:rsidRPr="00AB1C80" w:rsidRDefault="00170DC5" w:rsidP="00AB1C80">
      <w:pPr>
        <w:spacing w:line="276" w:lineRule="auto"/>
        <w:ind w:left="720"/>
        <w:rPr>
          <w:rFonts w:cs="Arial"/>
          <w:color w:val="000000" w:themeColor="text1"/>
          <w:szCs w:val="24"/>
        </w:rPr>
      </w:pPr>
    </w:p>
    <w:p w14:paraId="1B3179CF" w14:textId="268DD3A7" w:rsidR="00170DC5" w:rsidRPr="00AB1C80" w:rsidRDefault="00170DC5" w:rsidP="00AB1C80">
      <w:pPr>
        <w:numPr>
          <w:ilvl w:val="0"/>
          <w:numId w:val="7"/>
        </w:numPr>
        <w:spacing w:line="276" w:lineRule="auto"/>
        <w:rPr>
          <w:rFonts w:cs="Arial"/>
          <w:color w:val="000000" w:themeColor="text1"/>
          <w:szCs w:val="24"/>
        </w:rPr>
      </w:pPr>
      <w:r w:rsidRPr="00AB1C80">
        <w:rPr>
          <w:rFonts w:cs="Arial"/>
          <w:b/>
          <w:bCs/>
          <w:color w:val="000000" w:themeColor="text1"/>
        </w:rPr>
        <w:t>Comunicación y cultura ciudadana</w:t>
      </w:r>
      <w:r w:rsidRPr="00AB1C80">
        <w:rPr>
          <w:rFonts w:cs="Arial"/>
          <w:color w:val="000000" w:themeColor="text1"/>
        </w:rPr>
        <w:t>. La puesta en marcha de la Estrategia nacional de economía circular requiere de mecanismo de comunicación y cultura ciudadana, que garantice que la sociedad tenga un objetivo común en términos de eficiencia en los modelos de consumo y producción, con la participación del sector público y privado.</w:t>
      </w:r>
      <w:r w:rsidRPr="00AB1C80">
        <w:rPr>
          <w:rFonts w:cs="Arial"/>
          <w:color w:val="000000" w:themeColor="text1"/>
          <w:szCs w:val="24"/>
        </w:rPr>
        <w:t xml:space="preserve"> </w:t>
      </w:r>
      <w:r w:rsidRPr="00AB1C80">
        <w:rPr>
          <w:rFonts w:cs="Arial"/>
          <w:color w:val="000000" w:themeColor="text1"/>
        </w:rPr>
        <w:t>La información permanente y oportuna al consumidor es fundamental para alentarlo</w:t>
      </w:r>
      <w:r w:rsidRPr="00AB1C80">
        <w:rPr>
          <w:rFonts w:cs="Arial"/>
          <w:color w:val="000000" w:themeColor="text1"/>
          <w:szCs w:val="24"/>
        </w:rPr>
        <w:t xml:space="preserve"> </w:t>
      </w:r>
      <w:r w:rsidRPr="00AB1C80">
        <w:rPr>
          <w:rFonts w:cs="Arial"/>
          <w:color w:val="000000" w:themeColor="text1"/>
        </w:rPr>
        <w:t>a la toma de decisiones conscientes, que incluyan criterios de sostenibilidad y que</w:t>
      </w:r>
      <w:r w:rsidRPr="00AB1C80">
        <w:rPr>
          <w:rFonts w:cs="Arial"/>
          <w:color w:val="000000" w:themeColor="text1"/>
          <w:szCs w:val="24"/>
        </w:rPr>
        <w:t xml:space="preserve"> </w:t>
      </w:r>
      <w:r w:rsidRPr="00AB1C80">
        <w:rPr>
          <w:rFonts w:cs="Arial"/>
          <w:color w:val="000000" w:themeColor="text1"/>
        </w:rPr>
        <w:t>faciliten el avance hacia los estilos de vida sostenibles.</w:t>
      </w:r>
    </w:p>
    <w:p w14:paraId="35A2A1C5" w14:textId="2C936AE5" w:rsidR="00C04197" w:rsidRPr="00AB1C80" w:rsidRDefault="00C04197" w:rsidP="00AB1C80">
      <w:pPr>
        <w:spacing w:line="276" w:lineRule="auto"/>
        <w:rPr>
          <w:rFonts w:cs="Arial"/>
          <w:color w:val="000000" w:themeColor="text1"/>
          <w:szCs w:val="24"/>
        </w:rPr>
      </w:pPr>
    </w:p>
    <w:p w14:paraId="409DDC73" w14:textId="77777777" w:rsidR="00037F07" w:rsidRPr="00AB1C80" w:rsidRDefault="00037F07" w:rsidP="00AB1C80">
      <w:pPr>
        <w:spacing w:line="276" w:lineRule="auto"/>
        <w:rPr>
          <w:rFonts w:cs="Arial"/>
          <w:color w:val="000000" w:themeColor="text1"/>
          <w:szCs w:val="24"/>
        </w:rPr>
      </w:pPr>
      <w:r w:rsidRPr="00AB1C80">
        <w:rPr>
          <w:rFonts w:cs="Arial"/>
          <w:color w:val="000000" w:themeColor="text1"/>
          <w:szCs w:val="24"/>
        </w:rPr>
        <w:t xml:space="preserve">Además de estos mecanismos de gestión y política pública, se enfatizan, a partir del diagnóstico del metabolismo de la economía colombiana, seis líneas de acción: </w:t>
      </w:r>
    </w:p>
    <w:p w14:paraId="031F09A3" w14:textId="77777777" w:rsidR="00037F07" w:rsidRPr="00AB1C80" w:rsidRDefault="00037F07" w:rsidP="00AB1C80">
      <w:pPr>
        <w:spacing w:line="276" w:lineRule="auto"/>
        <w:rPr>
          <w:rFonts w:cs="Arial"/>
          <w:color w:val="000000" w:themeColor="text1"/>
          <w:szCs w:val="24"/>
        </w:rPr>
      </w:pPr>
    </w:p>
    <w:p w14:paraId="42FFA083" w14:textId="70DA2A5D" w:rsidR="006B4548" w:rsidRPr="00AB1C80" w:rsidRDefault="00037F07" w:rsidP="00AB1C80">
      <w:pPr>
        <w:numPr>
          <w:ilvl w:val="0"/>
          <w:numId w:val="8"/>
        </w:numPr>
        <w:spacing w:line="276" w:lineRule="auto"/>
        <w:rPr>
          <w:rFonts w:cs="Arial"/>
          <w:color w:val="000000" w:themeColor="text1"/>
          <w:szCs w:val="24"/>
        </w:rPr>
      </w:pPr>
      <w:r w:rsidRPr="00AB1C80">
        <w:rPr>
          <w:rFonts w:cs="Arial"/>
          <w:b/>
          <w:bCs/>
          <w:color w:val="000000" w:themeColor="text1"/>
          <w:szCs w:val="24"/>
        </w:rPr>
        <w:t>Flujo de materiales industriales y productos de consumo masivo</w:t>
      </w:r>
      <w:r w:rsidR="005146A6" w:rsidRPr="00AB1C80">
        <w:rPr>
          <w:rFonts w:cs="Arial"/>
          <w:b/>
          <w:bCs/>
          <w:color w:val="000000" w:themeColor="text1"/>
          <w:szCs w:val="24"/>
        </w:rPr>
        <w:t>:</w:t>
      </w:r>
      <w:r w:rsidR="005146A6" w:rsidRPr="00AB1C80">
        <w:rPr>
          <w:rFonts w:cs="Arial"/>
          <w:color w:val="000000" w:themeColor="text1"/>
          <w:szCs w:val="24"/>
        </w:rPr>
        <w:t xml:space="preserve"> </w:t>
      </w:r>
      <w:r w:rsidR="005146A6" w:rsidRPr="00AB1C80">
        <w:rPr>
          <w:rFonts w:cs="Arial"/>
          <w:color w:val="000000" w:themeColor="text1"/>
        </w:rPr>
        <w:t>esta línea de acción consiste en flujos de materiales utilizados en procesos industriales y que está cobijada por el mecanismo de responsabilidad del productor.</w:t>
      </w:r>
    </w:p>
    <w:p w14:paraId="7C981390" w14:textId="77777777" w:rsidR="00B73502" w:rsidRPr="00AB1C80" w:rsidRDefault="00B73502" w:rsidP="00AB1C80">
      <w:pPr>
        <w:spacing w:line="276" w:lineRule="auto"/>
        <w:ind w:left="720"/>
        <w:rPr>
          <w:rFonts w:cs="Arial"/>
          <w:color w:val="000000" w:themeColor="text1"/>
          <w:szCs w:val="24"/>
        </w:rPr>
      </w:pPr>
    </w:p>
    <w:p w14:paraId="1F563EBE" w14:textId="0EA13A92" w:rsidR="005146A6" w:rsidRPr="00AB1C80" w:rsidRDefault="00037F07" w:rsidP="00AB1C80">
      <w:pPr>
        <w:numPr>
          <w:ilvl w:val="0"/>
          <w:numId w:val="8"/>
        </w:numPr>
        <w:spacing w:line="276" w:lineRule="auto"/>
        <w:rPr>
          <w:rFonts w:cs="Arial"/>
          <w:color w:val="000000" w:themeColor="text1"/>
          <w:szCs w:val="24"/>
        </w:rPr>
      </w:pPr>
      <w:r w:rsidRPr="00AB1C80">
        <w:rPr>
          <w:rFonts w:cs="Arial"/>
          <w:b/>
          <w:bCs/>
          <w:color w:val="000000" w:themeColor="text1"/>
          <w:szCs w:val="24"/>
        </w:rPr>
        <w:t>Flujos de materiales de envases y empaques</w:t>
      </w:r>
      <w:r w:rsidR="005146A6" w:rsidRPr="00AB1C80">
        <w:rPr>
          <w:rFonts w:cs="Arial"/>
          <w:b/>
          <w:bCs/>
          <w:color w:val="000000" w:themeColor="text1"/>
          <w:szCs w:val="24"/>
        </w:rPr>
        <w:t>:</w:t>
      </w:r>
      <w:r w:rsidR="005146A6" w:rsidRPr="00AB1C80">
        <w:rPr>
          <w:rFonts w:cs="Arial"/>
          <w:color w:val="000000" w:themeColor="text1"/>
          <w:szCs w:val="24"/>
        </w:rPr>
        <w:t xml:space="preserve"> </w:t>
      </w:r>
      <w:r w:rsidR="005146A6" w:rsidRPr="00AB1C80">
        <w:rPr>
          <w:rFonts w:cs="Arial"/>
          <w:color w:val="000000" w:themeColor="text1"/>
        </w:rPr>
        <w:t>estos se caracterizan porque su uso es muy corto, mientras que los materiales que lo componen demoran muchos años en biodegradarse, lo que brinda una gran oportunidad para el desarrollo de estrategias de economía circular.</w:t>
      </w:r>
    </w:p>
    <w:p w14:paraId="18C02B9F" w14:textId="77777777" w:rsidR="005146A6" w:rsidRPr="00AB1C80" w:rsidRDefault="005146A6" w:rsidP="00AB1C80">
      <w:pPr>
        <w:spacing w:line="276" w:lineRule="auto"/>
        <w:rPr>
          <w:rFonts w:cs="Arial"/>
          <w:color w:val="000000" w:themeColor="text1"/>
          <w:szCs w:val="24"/>
        </w:rPr>
      </w:pPr>
    </w:p>
    <w:p w14:paraId="472E17DC" w14:textId="2A080FB4" w:rsidR="00142A9F" w:rsidRPr="00AB1C80" w:rsidRDefault="00037F07" w:rsidP="00AB1C80">
      <w:pPr>
        <w:numPr>
          <w:ilvl w:val="0"/>
          <w:numId w:val="8"/>
        </w:numPr>
        <w:spacing w:line="276" w:lineRule="auto"/>
        <w:rPr>
          <w:rFonts w:cs="Arial"/>
          <w:color w:val="000000" w:themeColor="text1"/>
          <w:szCs w:val="24"/>
        </w:rPr>
      </w:pPr>
      <w:r w:rsidRPr="00AB1C80">
        <w:rPr>
          <w:rFonts w:cs="Arial"/>
          <w:b/>
          <w:bCs/>
          <w:color w:val="000000" w:themeColor="text1"/>
          <w:szCs w:val="24"/>
        </w:rPr>
        <w:t>Flujos de biomasa</w:t>
      </w:r>
      <w:r w:rsidR="00142A9F" w:rsidRPr="00AB1C80">
        <w:rPr>
          <w:rFonts w:cs="Arial"/>
          <w:color w:val="000000" w:themeColor="text1"/>
          <w:szCs w:val="24"/>
        </w:rPr>
        <w:t xml:space="preserve">: </w:t>
      </w:r>
      <w:r w:rsidR="00142A9F" w:rsidRPr="00AB1C80">
        <w:rPr>
          <w:rFonts w:cs="Arial"/>
          <w:color w:val="000000" w:themeColor="text1"/>
        </w:rPr>
        <w:t>en el marco de esta estrategia, la biomasa residual corresponde a residuos agrícolas de cosecha, agroindustriales, agroforestales; estiércoles bovinos, porcinos y avícolas; desechos orgánicos de centros urbanos generados en plazas de mercado, centros de abasto, corte de césped y poda de árboles; actividad residencial y bio-sólidos generados en plantas de tratamiento de aguas residuales.</w:t>
      </w:r>
    </w:p>
    <w:p w14:paraId="3B433443" w14:textId="77777777" w:rsidR="00142A9F" w:rsidRPr="00AB1C80" w:rsidRDefault="00142A9F" w:rsidP="00AB1C80">
      <w:pPr>
        <w:spacing w:line="276" w:lineRule="auto"/>
        <w:rPr>
          <w:rFonts w:cs="Arial"/>
          <w:color w:val="000000" w:themeColor="text1"/>
          <w:szCs w:val="24"/>
        </w:rPr>
      </w:pPr>
    </w:p>
    <w:p w14:paraId="26987C0F" w14:textId="14DB5F91" w:rsidR="00514E89" w:rsidRPr="00AB1C80" w:rsidRDefault="00037F07" w:rsidP="00AB1C80">
      <w:pPr>
        <w:numPr>
          <w:ilvl w:val="0"/>
          <w:numId w:val="8"/>
        </w:numPr>
        <w:spacing w:line="276" w:lineRule="auto"/>
        <w:rPr>
          <w:rFonts w:cs="Arial"/>
          <w:color w:val="000000" w:themeColor="text1"/>
        </w:rPr>
      </w:pPr>
      <w:r w:rsidRPr="00AB1C80">
        <w:rPr>
          <w:rFonts w:cs="Arial"/>
          <w:b/>
          <w:bCs/>
          <w:color w:val="000000" w:themeColor="text1"/>
          <w:szCs w:val="24"/>
        </w:rPr>
        <w:t>Fuentes y flujos de energía</w:t>
      </w:r>
      <w:r w:rsidR="00514E89" w:rsidRPr="00AB1C80">
        <w:rPr>
          <w:rFonts w:cs="Arial"/>
          <w:b/>
          <w:bCs/>
          <w:color w:val="000000" w:themeColor="text1"/>
          <w:szCs w:val="24"/>
        </w:rPr>
        <w:t>:</w:t>
      </w:r>
      <w:r w:rsidR="00514E89" w:rsidRPr="00AB1C80">
        <w:rPr>
          <w:rFonts w:cs="Arial"/>
          <w:color w:val="000000" w:themeColor="text1"/>
          <w:szCs w:val="24"/>
        </w:rPr>
        <w:t xml:space="preserve"> l</w:t>
      </w:r>
      <w:r w:rsidR="00514E89" w:rsidRPr="00AB1C80">
        <w:rPr>
          <w:rFonts w:cs="Arial"/>
          <w:color w:val="000000" w:themeColor="text1"/>
        </w:rPr>
        <w:t>a eficiencia en el uso de la energía comprende acciones de actualización y renovación tecnológica residencial, industrial y de transporte. Existe gran potencial en sustitución de sistemas de refrigeración, electrodomésticos y motores</w:t>
      </w:r>
      <w:r w:rsidR="00286B3F" w:rsidRPr="00AB1C80">
        <w:rPr>
          <w:rFonts w:cs="Arial"/>
          <w:color w:val="000000" w:themeColor="text1"/>
        </w:rPr>
        <w:t>.</w:t>
      </w:r>
    </w:p>
    <w:p w14:paraId="41527E84" w14:textId="77777777" w:rsidR="00514E89" w:rsidRPr="00AB1C80" w:rsidRDefault="00514E89" w:rsidP="00AB1C80">
      <w:pPr>
        <w:spacing w:line="276" w:lineRule="auto"/>
        <w:rPr>
          <w:rFonts w:cs="Arial"/>
          <w:color w:val="000000" w:themeColor="text1"/>
          <w:szCs w:val="24"/>
        </w:rPr>
      </w:pPr>
    </w:p>
    <w:p w14:paraId="1F97F3A5" w14:textId="7CF11391" w:rsidR="00514E89" w:rsidRPr="00AB1C80" w:rsidRDefault="00037F07" w:rsidP="00AB1C80">
      <w:pPr>
        <w:numPr>
          <w:ilvl w:val="0"/>
          <w:numId w:val="8"/>
        </w:numPr>
        <w:spacing w:line="276" w:lineRule="auto"/>
        <w:rPr>
          <w:rFonts w:cs="Arial"/>
          <w:color w:val="000000" w:themeColor="text1"/>
          <w:szCs w:val="24"/>
        </w:rPr>
      </w:pPr>
      <w:r w:rsidRPr="00AB1C80">
        <w:rPr>
          <w:rFonts w:cs="Arial"/>
          <w:b/>
          <w:bCs/>
          <w:color w:val="000000" w:themeColor="text1"/>
          <w:szCs w:val="24"/>
        </w:rPr>
        <w:lastRenderedPageBreak/>
        <w:t>Flujo del agua</w:t>
      </w:r>
      <w:r w:rsidR="00514E89" w:rsidRPr="00AB1C80">
        <w:rPr>
          <w:rFonts w:cs="Arial"/>
          <w:b/>
          <w:bCs/>
          <w:color w:val="000000" w:themeColor="text1"/>
          <w:szCs w:val="24"/>
        </w:rPr>
        <w:t>:</w:t>
      </w:r>
      <w:r w:rsidR="00514E89" w:rsidRPr="00AB1C80">
        <w:rPr>
          <w:rFonts w:cs="Arial"/>
          <w:color w:val="000000" w:themeColor="text1"/>
          <w:szCs w:val="24"/>
        </w:rPr>
        <w:t xml:space="preserve"> c</w:t>
      </w:r>
      <w:r w:rsidR="00514E89" w:rsidRPr="00AB1C80">
        <w:rPr>
          <w:rFonts w:cs="Arial"/>
          <w:color w:val="000000" w:themeColor="text1"/>
        </w:rPr>
        <w:t>on la expedición de la Política nacional para la gestión integral del recurso hídrico en el 2010, se plantean seis objetivos, en donde se resaltan el objetivo de demanda, el cual tiene como fin la caracterización, cuantificación y optimización de la demanda de agua en el país, en donde una de sus estrategias es el uso eficiente y sostenible del agua. Por otra parte, la política definió el objetivo de calidad, el cual se enfoca en mejorar la calidad del agua y minimizar la contaminación del recurso hídrico.</w:t>
      </w:r>
    </w:p>
    <w:p w14:paraId="5D6FCF4C" w14:textId="77777777" w:rsidR="00514E89" w:rsidRPr="00AB1C80" w:rsidRDefault="00514E89" w:rsidP="00AB1C80">
      <w:pPr>
        <w:spacing w:line="276" w:lineRule="auto"/>
        <w:rPr>
          <w:rFonts w:cs="Arial"/>
          <w:color w:val="000000" w:themeColor="text1"/>
          <w:szCs w:val="24"/>
        </w:rPr>
      </w:pPr>
    </w:p>
    <w:p w14:paraId="2E78985A" w14:textId="4B3CC838" w:rsidR="00037F07" w:rsidRPr="00AB1C80" w:rsidRDefault="00037F07" w:rsidP="00AB1C80">
      <w:pPr>
        <w:numPr>
          <w:ilvl w:val="0"/>
          <w:numId w:val="8"/>
        </w:numPr>
        <w:spacing w:line="276" w:lineRule="auto"/>
        <w:rPr>
          <w:rFonts w:cs="Arial"/>
          <w:color w:val="000000" w:themeColor="text1"/>
          <w:szCs w:val="24"/>
        </w:rPr>
      </w:pPr>
      <w:r w:rsidRPr="00AB1C80">
        <w:rPr>
          <w:rFonts w:cs="Arial"/>
          <w:b/>
          <w:bCs/>
          <w:color w:val="000000" w:themeColor="text1"/>
          <w:szCs w:val="24"/>
        </w:rPr>
        <w:t>Flujos de materiales de construcción</w:t>
      </w:r>
      <w:r w:rsidR="00665F49" w:rsidRPr="00AB1C80">
        <w:rPr>
          <w:rFonts w:cs="Arial"/>
          <w:b/>
          <w:bCs/>
          <w:color w:val="000000" w:themeColor="text1"/>
          <w:szCs w:val="24"/>
        </w:rPr>
        <w:t>:</w:t>
      </w:r>
      <w:r w:rsidR="00665F49" w:rsidRPr="00AB1C80">
        <w:rPr>
          <w:rFonts w:cs="Arial"/>
          <w:color w:val="000000" w:themeColor="text1"/>
          <w:szCs w:val="24"/>
        </w:rPr>
        <w:t xml:space="preserve"> l</w:t>
      </w:r>
      <w:r w:rsidR="00665F49" w:rsidRPr="00AB1C80">
        <w:rPr>
          <w:rFonts w:cs="Arial"/>
          <w:color w:val="000000" w:themeColor="text1"/>
        </w:rPr>
        <w:t xml:space="preserve">as oportunidades para optimizar la eficiencia de los materiales de construcción en la economía circular, dado el creciente dinamismo de esta industria y su alta incidencia en el desarrollo económico del país, consisten en (i) mejorar los instrumentos para facilitar el cierre de ciclos, (ii) aumentar el aprovechamiento de escombros generados en las obras y proyectos de demolición, </w:t>
      </w:r>
      <w:r w:rsidR="00665F49" w:rsidRPr="00AB1C80">
        <w:rPr>
          <w:rFonts w:cs="Arial"/>
          <w:b/>
          <w:bCs/>
          <w:color w:val="000000" w:themeColor="text1"/>
          <w:u w:val="single"/>
        </w:rPr>
        <w:t>(iii) desarrollar simbiosis a través el uso de material estéril generado en proyectos de minería y energía para su uso en obras de construcción,</w:t>
      </w:r>
      <w:r w:rsidR="00665F49" w:rsidRPr="00AB1C80">
        <w:rPr>
          <w:rFonts w:cs="Arial"/>
          <w:color w:val="000000" w:themeColor="text1"/>
        </w:rPr>
        <w:t xml:space="preserve"> (iv) promover el eco-diseño en productos y estructuras de construcción que utilizan menos materiales, (v) la aplicación de modelos regionales para la gestión y aprovechamiento de materiales de construcción y residuos de construcción y demolición, y (vi) aumentar certificaciones como LEED (Leadership in Energy and Environmental Design), BREEAM (Building Research Establishment Environmental Assessment Methodology), EDGE (Excellence in Design for Greater Efficiencies), CASA Colombia y Sello Ambiental.</w:t>
      </w:r>
    </w:p>
    <w:p w14:paraId="46D28FF3" w14:textId="77777777" w:rsidR="00665F49" w:rsidRPr="00AB1C80" w:rsidRDefault="00665F49" w:rsidP="00AB1C80">
      <w:pPr>
        <w:spacing w:line="276" w:lineRule="auto"/>
        <w:rPr>
          <w:rFonts w:cs="Arial"/>
          <w:color w:val="000000" w:themeColor="text1"/>
          <w:szCs w:val="24"/>
        </w:rPr>
      </w:pPr>
    </w:p>
    <w:p w14:paraId="030EED4A" w14:textId="77777777" w:rsidR="00176D34" w:rsidRPr="00AB1C80" w:rsidRDefault="00176D34" w:rsidP="00AB1C80">
      <w:pPr>
        <w:spacing w:line="276" w:lineRule="auto"/>
        <w:rPr>
          <w:rFonts w:cs="Arial"/>
          <w:color w:val="000000" w:themeColor="text1"/>
          <w:szCs w:val="24"/>
        </w:rPr>
      </w:pPr>
      <w:r w:rsidRPr="00AB1C80">
        <w:rPr>
          <w:rFonts w:cs="Arial"/>
          <w:color w:val="000000" w:themeColor="text1"/>
          <w:szCs w:val="24"/>
        </w:rPr>
        <w:t xml:space="preserve">El Gobierno Nacional recorrió el país socializando la estrategia de economía circular al año 2020, con 19 talleres regionales en 21 departamentos permitiendo su adaptación a las necesidades y características de cada territorio; el compromiso con la economía circular ha sido masivo hasta la fecha se han suscrito 16 pactos regionales con más de 278 firmas entre empresas, autoridades gubernamentales, universidades, asociaciones de recicladores, gremios y demás actores estratégicos en donde se comprometen con la transición hacia este nuevo modelo de desarrollo sostenible. </w:t>
      </w:r>
    </w:p>
    <w:p w14:paraId="6EB1EE38" w14:textId="77777777" w:rsidR="00176D34" w:rsidRPr="00AB1C80" w:rsidRDefault="00176D34" w:rsidP="00AB1C80">
      <w:pPr>
        <w:spacing w:line="276" w:lineRule="auto"/>
        <w:rPr>
          <w:rFonts w:cs="Arial"/>
          <w:color w:val="000000" w:themeColor="text1"/>
          <w:szCs w:val="24"/>
        </w:rPr>
      </w:pPr>
    </w:p>
    <w:p w14:paraId="3B0CDF58" w14:textId="1F268876" w:rsidR="00176D34" w:rsidRPr="00AB1C80" w:rsidRDefault="00176D34" w:rsidP="00AB1C80">
      <w:pPr>
        <w:spacing w:line="276" w:lineRule="auto"/>
        <w:rPr>
          <w:rFonts w:cs="Arial"/>
          <w:color w:val="000000" w:themeColor="text1"/>
          <w:szCs w:val="24"/>
        </w:rPr>
      </w:pPr>
      <w:r w:rsidRPr="00AB1C80">
        <w:rPr>
          <w:rFonts w:cs="Arial"/>
          <w:color w:val="000000" w:themeColor="text1"/>
          <w:szCs w:val="24"/>
        </w:rPr>
        <w:t xml:space="preserve">Así mismo se han desarrollado 7 mesas regionales para priorizar e implementar proyectos con enfoque circular </w:t>
      </w:r>
      <w:r w:rsidR="00995D3B" w:rsidRPr="00AB1C80">
        <w:rPr>
          <w:rFonts w:cs="Arial"/>
          <w:color w:val="000000" w:themeColor="text1"/>
          <w:szCs w:val="24"/>
        </w:rPr>
        <w:t>de acuerdo con el</w:t>
      </w:r>
      <w:r w:rsidRPr="00AB1C80">
        <w:rPr>
          <w:rFonts w:cs="Arial"/>
          <w:color w:val="000000" w:themeColor="text1"/>
          <w:szCs w:val="24"/>
        </w:rPr>
        <w:t xml:space="preserve"> potencial de cada ciudad y municipio para volverlos más competitivos y sostenibles. </w:t>
      </w:r>
    </w:p>
    <w:p w14:paraId="77E10D41" w14:textId="77777777" w:rsidR="00176D34" w:rsidRPr="00AB1C80" w:rsidRDefault="00176D34" w:rsidP="00AB1C80">
      <w:pPr>
        <w:spacing w:line="276" w:lineRule="auto"/>
        <w:rPr>
          <w:rFonts w:cs="Arial"/>
          <w:color w:val="000000" w:themeColor="text1"/>
          <w:szCs w:val="24"/>
        </w:rPr>
      </w:pPr>
    </w:p>
    <w:p w14:paraId="0FC67219" w14:textId="14BF49BC" w:rsidR="00176D34" w:rsidRPr="00AB1C80" w:rsidRDefault="00176D34" w:rsidP="00AB1C80">
      <w:pPr>
        <w:spacing w:line="276" w:lineRule="auto"/>
        <w:rPr>
          <w:rFonts w:cs="Arial"/>
          <w:color w:val="000000" w:themeColor="text1"/>
          <w:szCs w:val="24"/>
        </w:rPr>
      </w:pPr>
      <w:r w:rsidRPr="00AB1C80">
        <w:rPr>
          <w:rFonts w:cs="Arial"/>
          <w:color w:val="000000" w:themeColor="text1"/>
          <w:szCs w:val="24"/>
        </w:rPr>
        <w:t xml:space="preserve">Básicamente, </w:t>
      </w:r>
      <w:r w:rsidR="00176B4B" w:rsidRPr="00AB1C80">
        <w:rPr>
          <w:rFonts w:cs="Arial"/>
          <w:color w:val="000000" w:themeColor="text1"/>
          <w:szCs w:val="24"/>
        </w:rPr>
        <w:t>el</w:t>
      </w:r>
      <w:r w:rsidRPr="00AB1C80">
        <w:rPr>
          <w:rFonts w:cs="Arial"/>
          <w:color w:val="000000" w:themeColor="text1"/>
          <w:szCs w:val="24"/>
        </w:rPr>
        <w:t xml:space="preserve"> objetivo general de la </w:t>
      </w:r>
      <w:r w:rsidR="00176B4B" w:rsidRPr="00AB1C80">
        <w:rPr>
          <w:rFonts w:cs="Arial"/>
          <w:color w:val="000000" w:themeColor="text1"/>
          <w:szCs w:val="24"/>
        </w:rPr>
        <w:t xml:space="preserve">Estrategia Nacional de Economía Circular </w:t>
      </w:r>
      <w:r w:rsidRPr="00AB1C80">
        <w:rPr>
          <w:rFonts w:cs="Arial"/>
          <w:color w:val="000000" w:themeColor="text1"/>
          <w:szCs w:val="24"/>
        </w:rPr>
        <w:t xml:space="preserve">es “Promover la transformación productiva para maximizar el valor agregado de los </w:t>
      </w:r>
      <w:r w:rsidRPr="00AB1C80">
        <w:rPr>
          <w:rFonts w:cs="Arial"/>
          <w:color w:val="000000" w:themeColor="text1"/>
          <w:szCs w:val="24"/>
        </w:rPr>
        <w:lastRenderedPageBreak/>
        <w:t>sistemas industriales y agropecuarios y las ciudades sostenibles en términos económicos, ambientales y sociales, a partir de la circularidad, innovación tecnológica, colaboración en nuevos modelos de negocio”</w:t>
      </w:r>
      <w:r w:rsidR="00CA1B5E" w:rsidRPr="00AB1C80">
        <w:rPr>
          <w:rFonts w:cs="Arial"/>
          <w:color w:val="000000" w:themeColor="text1"/>
          <w:szCs w:val="24"/>
        </w:rPr>
        <w:t>.</w:t>
      </w:r>
    </w:p>
    <w:p w14:paraId="69F210D4" w14:textId="77777777" w:rsidR="003278D2" w:rsidRPr="00AB1C80" w:rsidRDefault="003278D2" w:rsidP="00AB1C80">
      <w:pPr>
        <w:spacing w:line="276" w:lineRule="auto"/>
        <w:rPr>
          <w:rFonts w:cs="Arial"/>
          <w:color w:val="000000" w:themeColor="text1"/>
          <w:szCs w:val="24"/>
        </w:rPr>
      </w:pPr>
    </w:p>
    <w:p w14:paraId="3F1F58A4" w14:textId="28A01799" w:rsidR="00C5368C" w:rsidRPr="00AB1C80" w:rsidRDefault="00DD1DEE" w:rsidP="00AB1C80">
      <w:pPr>
        <w:spacing w:line="276" w:lineRule="auto"/>
        <w:rPr>
          <w:rFonts w:cs="Arial"/>
          <w:color w:val="000000" w:themeColor="text1"/>
          <w:szCs w:val="24"/>
        </w:rPr>
      </w:pPr>
      <w:r w:rsidRPr="00AB1C80">
        <w:rPr>
          <w:rFonts w:cs="Arial"/>
          <w:color w:val="000000" w:themeColor="text1"/>
          <w:szCs w:val="24"/>
        </w:rPr>
        <w:t xml:space="preserve">En cuanto a informes relacionados con la implementación de la economía circular en Colombia, </w:t>
      </w:r>
      <w:r w:rsidR="00D70FEE" w:rsidRPr="00AB1C80">
        <w:rPr>
          <w:rFonts w:cs="Arial"/>
          <w:color w:val="000000" w:themeColor="text1"/>
          <w:szCs w:val="24"/>
        </w:rPr>
        <w:t xml:space="preserve">en el año 2020 </w:t>
      </w:r>
      <w:r w:rsidRPr="00AB1C80">
        <w:rPr>
          <w:rFonts w:cs="Arial"/>
          <w:color w:val="000000" w:themeColor="text1"/>
          <w:szCs w:val="24"/>
        </w:rPr>
        <w:t>el</w:t>
      </w:r>
      <w:r w:rsidR="00D70FEE" w:rsidRPr="00AB1C80">
        <w:rPr>
          <w:rFonts w:cs="Arial"/>
          <w:color w:val="000000" w:themeColor="text1"/>
          <w:szCs w:val="24"/>
        </w:rPr>
        <w:t xml:space="preserve"> </w:t>
      </w:r>
      <w:r w:rsidR="00D70FEE" w:rsidRPr="00AB1C80">
        <w:rPr>
          <w:rFonts w:cs="Arial"/>
          <w:color w:val="000000" w:themeColor="text1"/>
          <w:szCs w:val="24"/>
          <w:u w:val="single"/>
        </w:rPr>
        <w:t xml:space="preserve">Departamento Administrativo Nacional de Estadística (DANE) </w:t>
      </w:r>
      <w:r w:rsidR="00C85AD0" w:rsidRPr="00AB1C80">
        <w:rPr>
          <w:rFonts w:cs="Arial"/>
          <w:color w:val="000000" w:themeColor="text1"/>
          <w:szCs w:val="24"/>
        </w:rPr>
        <w:t>con apoyo de</w:t>
      </w:r>
      <w:r w:rsidR="00D70FEE" w:rsidRPr="00AB1C80">
        <w:rPr>
          <w:rFonts w:cs="Arial"/>
          <w:color w:val="000000" w:themeColor="text1"/>
          <w:szCs w:val="24"/>
        </w:rPr>
        <w:t xml:space="preserve">l </w:t>
      </w:r>
      <w:r w:rsidR="00D70FEE" w:rsidRPr="00AB1C80">
        <w:rPr>
          <w:rFonts w:cs="Arial"/>
          <w:color w:val="000000" w:themeColor="text1"/>
          <w:szCs w:val="24"/>
          <w:u w:val="single"/>
        </w:rPr>
        <w:t>Instituto de Hidrología, Meteorología y Estudios Ambientales (IDEAM)</w:t>
      </w:r>
      <w:r w:rsidR="003278D2" w:rsidRPr="00AB1C80">
        <w:rPr>
          <w:rFonts w:cs="Arial"/>
          <w:color w:val="000000" w:themeColor="text1"/>
          <w:szCs w:val="24"/>
        </w:rPr>
        <w:t>, present</w:t>
      </w:r>
      <w:r w:rsidR="00C85AD0" w:rsidRPr="00AB1C80">
        <w:rPr>
          <w:rFonts w:cs="Arial"/>
          <w:color w:val="000000" w:themeColor="text1"/>
          <w:szCs w:val="24"/>
        </w:rPr>
        <w:t>ó</w:t>
      </w:r>
      <w:r w:rsidR="003278D2" w:rsidRPr="00AB1C80">
        <w:rPr>
          <w:rFonts w:cs="Arial"/>
          <w:color w:val="000000" w:themeColor="text1"/>
          <w:szCs w:val="24"/>
        </w:rPr>
        <w:t xml:space="preserve"> el </w:t>
      </w:r>
      <w:r w:rsidRPr="00AB1C80">
        <w:rPr>
          <w:rFonts w:cs="Arial"/>
          <w:color w:val="000000" w:themeColor="text1"/>
          <w:szCs w:val="24"/>
        </w:rPr>
        <w:t>informe denominado</w:t>
      </w:r>
      <w:r w:rsidR="00151819" w:rsidRPr="00AB1C80">
        <w:rPr>
          <w:rFonts w:cs="Arial"/>
          <w:color w:val="000000" w:themeColor="text1"/>
          <w:szCs w:val="24"/>
        </w:rPr>
        <w:t xml:space="preserve"> </w:t>
      </w:r>
      <w:r w:rsidR="00151819" w:rsidRPr="00AB1C80">
        <w:rPr>
          <w:rFonts w:cs="Arial"/>
          <w:i/>
          <w:iCs/>
          <w:color w:val="000000" w:themeColor="text1"/>
          <w:szCs w:val="24"/>
        </w:rPr>
        <w:t>“Economía Circular- Primer reporte 2020</w:t>
      </w:r>
      <w:r w:rsidR="00534E0D" w:rsidRPr="00AB1C80">
        <w:rPr>
          <w:rFonts w:cs="Arial"/>
          <w:i/>
          <w:iCs/>
          <w:color w:val="000000" w:themeColor="text1"/>
          <w:szCs w:val="24"/>
        </w:rPr>
        <w:t xml:space="preserve">”, </w:t>
      </w:r>
      <w:r w:rsidR="00C5368C" w:rsidRPr="00AB1C80">
        <w:rPr>
          <w:rFonts w:cs="Arial"/>
          <w:i/>
          <w:iCs/>
          <w:color w:val="000000" w:themeColor="text1"/>
          <w:szCs w:val="24"/>
        </w:rPr>
        <w:t>e</w:t>
      </w:r>
      <w:r w:rsidR="00C5368C" w:rsidRPr="00AB1C80">
        <w:rPr>
          <w:rFonts w:cs="Arial"/>
          <w:color w:val="000000" w:themeColor="text1"/>
          <w:szCs w:val="24"/>
        </w:rPr>
        <w:t>n el marco de la Estrategia Nacional de Economía Circular (ENEC).</w:t>
      </w:r>
    </w:p>
    <w:p w14:paraId="20B61144" w14:textId="03C11887" w:rsidR="00B53914" w:rsidRPr="00AB1C80" w:rsidRDefault="00B53914" w:rsidP="00AB1C80">
      <w:pPr>
        <w:spacing w:line="276" w:lineRule="auto"/>
        <w:rPr>
          <w:rFonts w:cs="Arial"/>
          <w:color w:val="000000" w:themeColor="text1"/>
          <w:szCs w:val="24"/>
        </w:rPr>
      </w:pPr>
    </w:p>
    <w:p w14:paraId="3D354ECD" w14:textId="77777777" w:rsidR="00B53914" w:rsidRPr="00AB1C80" w:rsidRDefault="00B53914" w:rsidP="00AB1C80">
      <w:pPr>
        <w:spacing w:line="276" w:lineRule="auto"/>
        <w:rPr>
          <w:rFonts w:cs="Arial"/>
          <w:color w:val="000000" w:themeColor="text1"/>
          <w:szCs w:val="24"/>
        </w:rPr>
      </w:pPr>
      <w:r w:rsidRPr="00AB1C80">
        <w:rPr>
          <w:rFonts w:cs="Arial"/>
          <w:color w:val="000000" w:themeColor="text1"/>
          <w:szCs w:val="24"/>
        </w:rPr>
        <w:t xml:space="preserve">El reporte marca el punto de partida del Sistema de Información de Economía Circular – SIEC y los indicadores establecidos fueron producidos por el DANE y por el Instituto de Hidrología, Meteorología y Estudios Ambientales – IDEAM. </w:t>
      </w:r>
    </w:p>
    <w:p w14:paraId="38D14947" w14:textId="4FF4FE36" w:rsidR="00347CC4" w:rsidRPr="00AB1C80" w:rsidRDefault="00347CC4" w:rsidP="00AB1C80">
      <w:pPr>
        <w:spacing w:line="276" w:lineRule="auto"/>
        <w:rPr>
          <w:rFonts w:cs="Arial"/>
          <w:color w:val="000000" w:themeColor="text1"/>
          <w:szCs w:val="24"/>
        </w:rPr>
      </w:pPr>
    </w:p>
    <w:p w14:paraId="04C93A28" w14:textId="1581844E" w:rsidR="00347CC4" w:rsidRPr="00AB1C80" w:rsidRDefault="00347CC4" w:rsidP="00AB1C80">
      <w:pPr>
        <w:spacing w:line="276" w:lineRule="auto"/>
        <w:rPr>
          <w:rFonts w:cs="Arial"/>
          <w:color w:val="000000" w:themeColor="text1"/>
          <w:szCs w:val="24"/>
        </w:rPr>
      </w:pPr>
      <w:r w:rsidRPr="00AB1C80">
        <w:rPr>
          <w:rFonts w:cs="Arial"/>
          <w:color w:val="000000" w:themeColor="text1"/>
          <w:szCs w:val="24"/>
        </w:rPr>
        <w:t>Dentro del informe se destacan</w:t>
      </w:r>
      <w:r w:rsidR="000F104E" w:rsidRPr="00AB1C80">
        <w:rPr>
          <w:rFonts w:cs="Arial"/>
          <w:color w:val="000000" w:themeColor="text1"/>
          <w:szCs w:val="24"/>
        </w:rPr>
        <w:t xml:space="preserve"> los avances en la medición de Economía Circular y los indicadores de Economía Circular para Colombia:</w:t>
      </w:r>
    </w:p>
    <w:p w14:paraId="66AD5062" w14:textId="12D6272F" w:rsidR="000C23D3" w:rsidRPr="00AB1C80" w:rsidRDefault="000C23D3" w:rsidP="00AB1C80">
      <w:pPr>
        <w:spacing w:line="276" w:lineRule="auto"/>
        <w:rPr>
          <w:rFonts w:cs="Arial"/>
          <w:color w:val="000000" w:themeColor="text1"/>
          <w:szCs w:val="24"/>
        </w:rPr>
      </w:pPr>
    </w:p>
    <w:p w14:paraId="549228B4" w14:textId="24BD6813" w:rsidR="002A49DB" w:rsidRPr="00AB1C80" w:rsidRDefault="000C23D3" w:rsidP="00AB1C80">
      <w:pPr>
        <w:numPr>
          <w:ilvl w:val="0"/>
          <w:numId w:val="9"/>
        </w:numPr>
        <w:spacing w:line="276" w:lineRule="auto"/>
        <w:rPr>
          <w:rFonts w:cs="Arial"/>
          <w:b/>
          <w:bCs/>
          <w:color w:val="000000" w:themeColor="text1"/>
          <w:szCs w:val="24"/>
        </w:rPr>
      </w:pPr>
      <w:r w:rsidRPr="00AB1C80">
        <w:rPr>
          <w:rFonts w:cs="Arial"/>
          <w:b/>
          <w:bCs/>
          <w:color w:val="000000" w:themeColor="text1"/>
          <w:szCs w:val="24"/>
        </w:rPr>
        <w:t xml:space="preserve">Avances en la medición de Economía Circular en Colombia: </w:t>
      </w:r>
      <w:r w:rsidRPr="00AB1C80">
        <w:rPr>
          <w:rFonts w:cs="Arial"/>
          <w:color w:val="000000" w:themeColor="text1"/>
          <w:szCs w:val="24"/>
        </w:rPr>
        <w:t>se aborda el concepto de Economía Circular y se analiza la transformación que se requiere en la Economía Lineal para poder desarrollar un sistema de Economía Circular.</w:t>
      </w:r>
    </w:p>
    <w:p w14:paraId="35C76B33" w14:textId="77777777" w:rsidR="002A49DB" w:rsidRPr="00AB1C80" w:rsidRDefault="002A49DB" w:rsidP="00AB1C80">
      <w:pPr>
        <w:spacing w:line="276" w:lineRule="auto"/>
        <w:ind w:left="720"/>
        <w:rPr>
          <w:rFonts w:cs="Arial"/>
          <w:b/>
          <w:bCs/>
          <w:color w:val="000000" w:themeColor="text1"/>
          <w:szCs w:val="24"/>
        </w:rPr>
      </w:pPr>
    </w:p>
    <w:p w14:paraId="2F1C4450" w14:textId="77777777" w:rsidR="003938D4" w:rsidRPr="00AB1C80" w:rsidRDefault="002A49DB" w:rsidP="00AB1C80">
      <w:pPr>
        <w:numPr>
          <w:ilvl w:val="0"/>
          <w:numId w:val="9"/>
        </w:numPr>
        <w:spacing w:line="276" w:lineRule="auto"/>
        <w:rPr>
          <w:rFonts w:cs="Arial"/>
          <w:color w:val="000000" w:themeColor="text1"/>
          <w:szCs w:val="24"/>
        </w:rPr>
      </w:pPr>
      <w:r w:rsidRPr="00AB1C80">
        <w:rPr>
          <w:rFonts w:cs="Arial"/>
          <w:b/>
          <w:bCs/>
          <w:color w:val="000000" w:themeColor="text1"/>
          <w:szCs w:val="24"/>
        </w:rPr>
        <w:t xml:space="preserve">Indicadores de Economía Circular para Colombia: </w:t>
      </w:r>
      <w:r w:rsidRPr="00AB1C80">
        <w:rPr>
          <w:rFonts w:cs="Arial"/>
          <w:color w:val="000000" w:themeColor="text1"/>
          <w:szCs w:val="24"/>
        </w:rPr>
        <w:t>los indicadores de Economía Circular han sido categorizados en los siguientes cuatro componentes que dan cuenta de las fases de un proceso de producción de bienes y/o servicios: a) extracción de activos ambientales, b) producción de bienes y servicios, c) consumo y uso Cierre y d) optimización de los ciclos de vida de los materiales y productos.</w:t>
      </w:r>
      <w:r w:rsidR="003938D4" w:rsidRPr="00AB1C80">
        <w:rPr>
          <w:rFonts w:cs="Arial"/>
          <w:color w:val="000000" w:themeColor="text1"/>
          <w:szCs w:val="24"/>
        </w:rPr>
        <w:t xml:space="preserve"> </w:t>
      </w:r>
    </w:p>
    <w:p w14:paraId="37F1AD86" w14:textId="77777777" w:rsidR="003938D4" w:rsidRPr="00AB1C80" w:rsidRDefault="003938D4" w:rsidP="00AB1C80">
      <w:pPr>
        <w:spacing w:line="276" w:lineRule="auto"/>
        <w:ind w:left="720"/>
        <w:rPr>
          <w:rFonts w:cs="Arial"/>
          <w:b/>
          <w:bCs/>
          <w:color w:val="000000" w:themeColor="text1"/>
          <w:szCs w:val="24"/>
        </w:rPr>
      </w:pPr>
    </w:p>
    <w:p w14:paraId="47F9D491" w14:textId="6A757AB7" w:rsidR="003938D4" w:rsidRPr="00AB1C80" w:rsidRDefault="003938D4" w:rsidP="00AB1C80">
      <w:pPr>
        <w:spacing w:line="276" w:lineRule="auto"/>
        <w:ind w:left="720"/>
        <w:rPr>
          <w:rFonts w:cs="Arial"/>
          <w:color w:val="000000" w:themeColor="text1"/>
          <w:szCs w:val="24"/>
        </w:rPr>
      </w:pPr>
      <w:r w:rsidRPr="00AB1C80">
        <w:rPr>
          <w:rFonts w:cs="Arial"/>
          <w:color w:val="000000" w:themeColor="text1"/>
          <w:szCs w:val="24"/>
        </w:rPr>
        <w:t>La información estadística incluida en este primer Reporte de Economía Circular es el resultado del proceso de producción estadística del DANE a través de operaciones estadísticas como la Encuesta Anual Manufacturera – EAM, la Encuesta Ambiental Industrial – EAI y la Cuenta Satélite Ambiental – CSA. Asimismo, se presentan indicadores resultado de insumos de información recolectados por el IDEAM.</w:t>
      </w:r>
    </w:p>
    <w:p w14:paraId="197431ED" w14:textId="5A6D55E3" w:rsidR="00760787" w:rsidRPr="00AB1C80" w:rsidRDefault="00760787" w:rsidP="00AB1C80">
      <w:pPr>
        <w:spacing w:line="276" w:lineRule="auto"/>
        <w:rPr>
          <w:rFonts w:cs="Arial"/>
          <w:b/>
          <w:bCs/>
          <w:color w:val="000000" w:themeColor="text1"/>
          <w:szCs w:val="24"/>
        </w:rPr>
      </w:pPr>
    </w:p>
    <w:p w14:paraId="15295776" w14:textId="467697E9" w:rsidR="00760787" w:rsidRPr="00AB1C80" w:rsidRDefault="00A84705" w:rsidP="00AB1C80">
      <w:pPr>
        <w:spacing w:line="276" w:lineRule="auto"/>
        <w:rPr>
          <w:rFonts w:cs="Arial"/>
          <w:color w:val="000000" w:themeColor="text1"/>
          <w:szCs w:val="24"/>
        </w:rPr>
      </w:pPr>
      <w:r w:rsidRPr="00AB1C80">
        <w:rPr>
          <w:rFonts w:cs="Arial"/>
          <w:color w:val="000000" w:themeColor="text1"/>
          <w:szCs w:val="24"/>
        </w:rPr>
        <w:t>Además,</w:t>
      </w:r>
      <w:r w:rsidR="00A70C84" w:rsidRPr="00AB1C80">
        <w:rPr>
          <w:rFonts w:cs="Arial"/>
          <w:color w:val="000000" w:themeColor="text1"/>
          <w:szCs w:val="24"/>
        </w:rPr>
        <w:t xml:space="preserve"> incluye </w:t>
      </w:r>
      <w:r w:rsidR="000F104E" w:rsidRPr="00AB1C80">
        <w:rPr>
          <w:rFonts w:cs="Arial"/>
          <w:color w:val="000000" w:themeColor="text1"/>
          <w:szCs w:val="24"/>
        </w:rPr>
        <w:t>tres</w:t>
      </w:r>
      <w:r w:rsidR="00A70C84" w:rsidRPr="00AB1C80">
        <w:rPr>
          <w:rFonts w:cs="Arial"/>
          <w:color w:val="000000" w:themeColor="text1"/>
          <w:szCs w:val="24"/>
        </w:rPr>
        <w:t xml:space="preserve"> anexos los cuales permiten </w:t>
      </w:r>
      <w:r w:rsidR="000F104E" w:rsidRPr="00AB1C80">
        <w:rPr>
          <w:rFonts w:cs="Arial"/>
          <w:color w:val="000000" w:themeColor="text1"/>
          <w:szCs w:val="24"/>
        </w:rPr>
        <w:t xml:space="preserve">identificar </w:t>
      </w:r>
      <w:r w:rsidR="008C62C6" w:rsidRPr="00AB1C80">
        <w:rPr>
          <w:rFonts w:cs="Arial"/>
          <w:color w:val="000000" w:themeColor="text1"/>
          <w:szCs w:val="24"/>
        </w:rPr>
        <w:t xml:space="preserve">tanto </w:t>
      </w:r>
      <w:r w:rsidR="000F104E" w:rsidRPr="00AB1C80">
        <w:rPr>
          <w:rFonts w:cs="Arial"/>
          <w:color w:val="000000" w:themeColor="text1"/>
          <w:szCs w:val="24"/>
        </w:rPr>
        <w:t>los</w:t>
      </w:r>
      <w:r w:rsidR="00760787" w:rsidRPr="00AB1C80">
        <w:rPr>
          <w:rFonts w:cs="Arial"/>
          <w:color w:val="000000" w:themeColor="text1"/>
          <w:szCs w:val="24"/>
        </w:rPr>
        <w:t xml:space="preserve"> </w:t>
      </w:r>
      <w:r w:rsidR="000F104E" w:rsidRPr="00AB1C80">
        <w:rPr>
          <w:rFonts w:cs="Arial"/>
          <w:color w:val="000000" w:themeColor="text1"/>
          <w:szCs w:val="24"/>
        </w:rPr>
        <w:t>i</w:t>
      </w:r>
      <w:r w:rsidR="00760787" w:rsidRPr="00AB1C80">
        <w:rPr>
          <w:rFonts w:cs="Arial"/>
          <w:color w:val="000000" w:themeColor="text1"/>
          <w:szCs w:val="24"/>
        </w:rPr>
        <w:t>ndicadores de países líderes en la medición de Economía Circular</w:t>
      </w:r>
      <w:r w:rsidR="008C62C6" w:rsidRPr="00AB1C80">
        <w:rPr>
          <w:rFonts w:cs="Arial"/>
          <w:color w:val="000000" w:themeColor="text1"/>
          <w:szCs w:val="24"/>
        </w:rPr>
        <w:t xml:space="preserve"> como </w:t>
      </w:r>
      <w:r w:rsidR="000F104E" w:rsidRPr="00AB1C80">
        <w:rPr>
          <w:rFonts w:cs="Arial"/>
          <w:color w:val="000000" w:themeColor="text1"/>
          <w:szCs w:val="24"/>
        </w:rPr>
        <w:t>el l</w:t>
      </w:r>
      <w:r w:rsidR="00760787" w:rsidRPr="00AB1C80">
        <w:rPr>
          <w:rFonts w:cs="Arial"/>
          <w:color w:val="000000" w:themeColor="text1"/>
          <w:szCs w:val="24"/>
        </w:rPr>
        <w:t xml:space="preserve">istado de materias </w:t>
      </w:r>
      <w:r w:rsidR="00760787" w:rsidRPr="00AB1C80">
        <w:rPr>
          <w:rFonts w:cs="Arial"/>
          <w:color w:val="000000" w:themeColor="text1"/>
          <w:szCs w:val="24"/>
        </w:rPr>
        <w:lastRenderedPageBreak/>
        <w:t xml:space="preserve">primas de productos residuales y </w:t>
      </w:r>
      <w:r w:rsidR="008C62C6" w:rsidRPr="00AB1C80">
        <w:rPr>
          <w:rFonts w:cs="Arial"/>
          <w:color w:val="000000" w:themeColor="text1"/>
          <w:szCs w:val="24"/>
        </w:rPr>
        <w:t xml:space="preserve">se describen </w:t>
      </w:r>
      <w:r w:rsidR="000F104E" w:rsidRPr="00AB1C80">
        <w:rPr>
          <w:rFonts w:cs="Arial"/>
          <w:color w:val="000000" w:themeColor="text1"/>
          <w:szCs w:val="24"/>
        </w:rPr>
        <w:t>las f</w:t>
      </w:r>
      <w:r w:rsidR="00760787" w:rsidRPr="00AB1C80">
        <w:rPr>
          <w:rFonts w:cs="Arial"/>
          <w:color w:val="000000" w:themeColor="text1"/>
          <w:szCs w:val="24"/>
        </w:rPr>
        <w:t xml:space="preserve">ichas técnicas </w:t>
      </w:r>
      <w:r w:rsidR="000F104E" w:rsidRPr="00AB1C80">
        <w:rPr>
          <w:rFonts w:cs="Arial"/>
          <w:color w:val="000000" w:themeColor="text1"/>
          <w:szCs w:val="24"/>
        </w:rPr>
        <w:t xml:space="preserve">de los </w:t>
      </w:r>
      <w:r w:rsidR="00760787" w:rsidRPr="00AB1C80">
        <w:rPr>
          <w:rFonts w:cs="Arial"/>
          <w:color w:val="000000" w:themeColor="text1"/>
          <w:szCs w:val="24"/>
        </w:rPr>
        <w:t>indicadores Economía Circular.</w:t>
      </w:r>
    </w:p>
    <w:p w14:paraId="70B02BB6" w14:textId="77777777" w:rsidR="00F73F04" w:rsidRPr="00AB1C80" w:rsidRDefault="00F73F04" w:rsidP="00AB1C80">
      <w:pPr>
        <w:spacing w:line="276" w:lineRule="auto"/>
        <w:rPr>
          <w:rFonts w:cs="Arial"/>
          <w:color w:val="000000" w:themeColor="text1"/>
        </w:rPr>
      </w:pPr>
    </w:p>
    <w:p w14:paraId="62FE464B" w14:textId="1C628B63" w:rsidR="00DD1DEE" w:rsidRPr="00AB1C80" w:rsidRDefault="00D75B00" w:rsidP="00AB1C80">
      <w:pPr>
        <w:spacing w:line="276" w:lineRule="auto"/>
        <w:rPr>
          <w:rFonts w:cs="Arial"/>
          <w:color w:val="000000" w:themeColor="text1"/>
        </w:rPr>
      </w:pPr>
      <w:r w:rsidRPr="00AB1C80">
        <w:rPr>
          <w:rFonts w:cs="Arial"/>
          <w:color w:val="000000" w:themeColor="text1"/>
        </w:rPr>
        <w:t>En los indicadores de Economía Circular para Colombia, el sector minero específicamente se incluye en los siguientes componentes, aunque los indicadores de los demás componentes se consideran trasversales a cualquier tipo de industria, así que se pueden asociar con el sector minero.</w:t>
      </w:r>
    </w:p>
    <w:p w14:paraId="0AF3268F" w14:textId="2D1AF6C5" w:rsidR="00D75B00" w:rsidRPr="00AB1C80" w:rsidRDefault="00D75B00" w:rsidP="00AB1C80">
      <w:pPr>
        <w:spacing w:line="276" w:lineRule="auto"/>
        <w:rPr>
          <w:rFonts w:cs="Arial"/>
          <w:color w:val="000000" w:themeColor="text1"/>
          <w:szCs w:val="24"/>
        </w:rPr>
      </w:pPr>
    </w:p>
    <w:p w14:paraId="680080AF" w14:textId="14FCEDFD" w:rsidR="00D75B00" w:rsidRPr="00AB1C80" w:rsidRDefault="00D75B00" w:rsidP="00AB1C80">
      <w:pPr>
        <w:numPr>
          <w:ilvl w:val="0"/>
          <w:numId w:val="10"/>
        </w:numPr>
        <w:spacing w:line="276" w:lineRule="auto"/>
        <w:rPr>
          <w:rFonts w:cs="Arial"/>
          <w:b/>
          <w:bCs/>
          <w:color w:val="000000" w:themeColor="text1"/>
          <w:szCs w:val="24"/>
        </w:rPr>
      </w:pPr>
      <w:r w:rsidRPr="00AB1C80">
        <w:rPr>
          <w:rFonts w:cs="Arial"/>
          <w:b/>
          <w:bCs/>
          <w:color w:val="000000" w:themeColor="text1"/>
          <w:szCs w:val="24"/>
        </w:rPr>
        <w:t xml:space="preserve">Extracción de Activos Ambientales: </w:t>
      </w:r>
    </w:p>
    <w:p w14:paraId="4642CA9E" w14:textId="77777777" w:rsidR="00271BB0" w:rsidRPr="00AB1C80" w:rsidRDefault="00271BB0" w:rsidP="00AB1C80">
      <w:pPr>
        <w:spacing w:line="276" w:lineRule="auto"/>
        <w:ind w:left="720"/>
        <w:rPr>
          <w:rFonts w:cs="Arial"/>
          <w:b/>
          <w:bCs/>
          <w:color w:val="000000" w:themeColor="text1"/>
          <w:szCs w:val="24"/>
        </w:rPr>
      </w:pPr>
    </w:p>
    <w:p w14:paraId="7655A338" w14:textId="77777777" w:rsidR="00D75B00" w:rsidRPr="00AB1C80" w:rsidRDefault="00D75B00" w:rsidP="00AB1C80">
      <w:pPr>
        <w:spacing w:line="276" w:lineRule="auto"/>
        <w:ind w:left="720"/>
        <w:rPr>
          <w:rFonts w:cs="Arial"/>
          <w:color w:val="000000" w:themeColor="text1"/>
          <w:szCs w:val="24"/>
        </w:rPr>
      </w:pPr>
      <w:r w:rsidRPr="00AB1C80">
        <w:rPr>
          <w:rFonts w:cs="Arial"/>
          <w:color w:val="000000" w:themeColor="text1"/>
          <w:szCs w:val="24"/>
          <w:u w:val="single"/>
        </w:rPr>
        <w:t>Disponibilidad de reservas mineras</w:t>
      </w:r>
      <w:r w:rsidRPr="00AB1C80">
        <w:rPr>
          <w:rFonts w:cs="Arial"/>
          <w:color w:val="000000" w:themeColor="text1"/>
          <w:szCs w:val="24"/>
        </w:rPr>
        <w:t>: este indicador relaciona la extracción y las reservas mineras probadas de cada recurso, y permite conocer la disponibilidad del activo en un horizonte de tiempo.</w:t>
      </w:r>
    </w:p>
    <w:p w14:paraId="4E639FE4" w14:textId="77777777" w:rsidR="00D75B00" w:rsidRPr="00AB1C80" w:rsidRDefault="00D75B00" w:rsidP="00AB1C80">
      <w:pPr>
        <w:spacing w:line="276" w:lineRule="auto"/>
        <w:ind w:left="720"/>
        <w:rPr>
          <w:rFonts w:cs="Arial"/>
          <w:color w:val="000000" w:themeColor="text1"/>
          <w:szCs w:val="24"/>
        </w:rPr>
      </w:pPr>
    </w:p>
    <w:p w14:paraId="5EF9D41B" w14:textId="77777777" w:rsidR="00D75B00" w:rsidRPr="00AB1C80" w:rsidRDefault="00D75B00" w:rsidP="00AB1C80">
      <w:pPr>
        <w:spacing w:line="276" w:lineRule="auto"/>
        <w:ind w:left="720"/>
        <w:rPr>
          <w:rFonts w:cs="Arial"/>
          <w:color w:val="000000" w:themeColor="text1"/>
          <w:szCs w:val="24"/>
        </w:rPr>
      </w:pPr>
      <w:r w:rsidRPr="00AB1C80">
        <w:rPr>
          <w:rFonts w:cs="Arial"/>
          <w:color w:val="000000" w:themeColor="text1"/>
          <w:szCs w:val="24"/>
          <w:u w:val="single"/>
        </w:rPr>
        <w:t>Tasa de extracción de recursos minero-Energéticos:</w:t>
      </w:r>
      <w:r w:rsidRPr="00AB1C80">
        <w:rPr>
          <w:rFonts w:cs="Arial"/>
          <w:color w:val="000000" w:themeColor="text1"/>
          <w:szCs w:val="24"/>
        </w:rPr>
        <w:t xml:space="preserve"> el indicador relaciona la cantidad del mineral extraído y su stock al inicio del año (incluyendo los incrementos al stock por cuenta de los descubrimientos, reconsideraciones al alza y cambios en clasificaciones).</w:t>
      </w:r>
    </w:p>
    <w:p w14:paraId="314AE753" w14:textId="77777777" w:rsidR="00D75B00" w:rsidRPr="00AB1C80" w:rsidRDefault="00D75B00" w:rsidP="00AB1C80">
      <w:pPr>
        <w:spacing w:line="276" w:lineRule="auto"/>
        <w:ind w:left="720"/>
        <w:rPr>
          <w:rFonts w:cs="Arial"/>
          <w:color w:val="000000" w:themeColor="text1"/>
          <w:szCs w:val="24"/>
        </w:rPr>
      </w:pPr>
    </w:p>
    <w:p w14:paraId="21993AFD" w14:textId="77777777" w:rsidR="00D75B00" w:rsidRPr="00AB1C80" w:rsidRDefault="00D75B00" w:rsidP="00AB1C80">
      <w:pPr>
        <w:spacing w:line="276" w:lineRule="auto"/>
        <w:ind w:left="720"/>
        <w:rPr>
          <w:rFonts w:cs="Arial"/>
          <w:b/>
          <w:bCs/>
          <w:color w:val="000000" w:themeColor="text1"/>
          <w:szCs w:val="24"/>
        </w:rPr>
      </w:pPr>
      <w:r w:rsidRPr="00AB1C80">
        <w:rPr>
          <w:rFonts w:cs="Arial"/>
          <w:color w:val="000000" w:themeColor="text1"/>
          <w:szCs w:val="24"/>
          <w:u w:val="single"/>
        </w:rPr>
        <w:t>Variación del stock de las reservas mineras:</w:t>
      </w:r>
      <w:r w:rsidRPr="00AB1C80">
        <w:rPr>
          <w:rFonts w:cs="Arial"/>
          <w:color w:val="000000" w:themeColor="text1"/>
          <w:szCs w:val="24"/>
        </w:rPr>
        <w:t xml:space="preserve"> este indicador representa el cambio en el stock de cierre comparado con el stock de apertura del recurso en cada periodo contable. El mismo, da una señal de agotamiento o abastecimiento de los recursos minero- energéticos en el tiempo.</w:t>
      </w:r>
    </w:p>
    <w:p w14:paraId="5FBAAF11" w14:textId="77777777" w:rsidR="00912F86" w:rsidRPr="00AB1C80" w:rsidRDefault="00912F86" w:rsidP="00AB1C80">
      <w:pPr>
        <w:spacing w:line="276" w:lineRule="auto"/>
        <w:rPr>
          <w:rFonts w:cs="Arial"/>
          <w:color w:val="000000" w:themeColor="text1"/>
          <w:szCs w:val="24"/>
        </w:rPr>
      </w:pPr>
    </w:p>
    <w:p w14:paraId="29F184FF" w14:textId="7C68FE1D" w:rsidR="00D1319F" w:rsidRPr="00AB1C80" w:rsidRDefault="00912F86" w:rsidP="00AB1C80">
      <w:pPr>
        <w:spacing w:line="276" w:lineRule="auto"/>
        <w:rPr>
          <w:rFonts w:cs="Arial"/>
          <w:color w:val="000000" w:themeColor="text1"/>
          <w:szCs w:val="24"/>
        </w:rPr>
      </w:pPr>
      <w:r w:rsidRPr="00AB1C80">
        <w:rPr>
          <w:rFonts w:cs="Arial"/>
          <w:color w:val="000000" w:themeColor="text1"/>
          <w:szCs w:val="24"/>
        </w:rPr>
        <w:t xml:space="preserve">En el año 2020, el </w:t>
      </w:r>
      <w:r w:rsidRPr="00AB1C80">
        <w:rPr>
          <w:rFonts w:cs="Arial"/>
          <w:color w:val="000000" w:themeColor="text1"/>
          <w:szCs w:val="24"/>
          <w:u w:val="single"/>
        </w:rPr>
        <w:t>Instituto</w:t>
      </w:r>
      <w:r w:rsidR="002A554A" w:rsidRPr="00AB1C80">
        <w:rPr>
          <w:rFonts w:cs="Arial"/>
          <w:color w:val="000000" w:themeColor="text1"/>
          <w:szCs w:val="24"/>
          <w:u w:val="single"/>
        </w:rPr>
        <w:t xml:space="preserve"> </w:t>
      </w:r>
      <w:r w:rsidRPr="00AB1C80">
        <w:rPr>
          <w:rFonts w:cs="Arial"/>
          <w:color w:val="000000" w:themeColor="text1"/>
          <w:szCs w:val="24"/>
          <w:u w:val="single"/>
        </w:rPr>
        <w:t>Colombiano de Normas Técnicas y Certificación, (ICONTEC)</w:t>
      </w:r>
      <w:r w:rsidRPr="00AB1C80">
        <w:rPr>
          <w:rFonts w:cs="Arial"/>
          <w:color w:val="000000" w:themeColor="text1"/>
          <w:szCs w:val="24"/>
        </w:rPr>
        <w:t>, organismo nacional de normalización, según el Decreto 1595 de 2015,</w:t>
      </w:r>
      <w:r w:rsidR="00D1319F" w:rsidRPr="00AB1C80">
        <w:rPr>
          <w:rFonts w:cs="Arial"/>
          <w:color w:val="000000" w:themeColor="text1"/>
          <w:szCs w:val="24"/>
        </w:rPr>
        <w:t xml:space="preserve"> establece la </w:t>
      </w:r>
      <w:r w:rsidR="00D1319F" w:rsidRPr="00AB1C80">
        <w:rPr>
          <w:rFonts w:cs="Arial"/>
          <w:i/>
          <w:iCs/>
          <w:color w:val="000000" w:themeColor="text1"/>
          <w:szCs w:val="24"/>
        </w:rPr>
        <w:t>Guía Técnica Colombiana GTC 314 – 2020 “Marco para la implementación de los principios de la economía circular en las organizaciones”</w:t>
      </w:r>
      <w:r w:rsidR="00D1319F" w:rsidRPr="00AB1C80">
        <w:rPr>
          <w:rFonts w:cs="Arial"/>
          <w:color w:val="000000" w:themeColor="text1"/>
          <w:szCs w:val="24"/>
        </w:rPr>
        <w:t>, elaborada por el CTN 14</w:t>
      </w:r>
      <w:r w:rsidR="00E102BE" w:rsidRPr="00AB1C80">
        <w:rPr>
          <w:rFonts w:cs="Arial"/>
          <w:color w:val="000000" w:themeColor="text1"/>
          <w:szCs w:val="24"/>
        </w:rPr>
        <w:t>:</w:t>
      </w:r>
      <w:r w:rsidR="007E0433" w:rsidRPr="00AB1C80">
        <w:rPr>
          <w:rFonts w:cs="Arial"/>
          <w:color w:val="000000" w:themeColor="text1"/>
          <w:szCs w:val="24"/>
        </w:rPr>
        <w:t xml:space="preserve"> </w:t>
      </w:r>
      <w:r w:rsidR="00D1319F" w:rsidRPr="00AB1C80">
        <w:rPr>
          <w:rFonts w:cs="Arial"/>
          <w:color w:val="000000" w:themeColor="text1"/>
          <w:szCs w:val="24"/>
        </w:rPr>
        <w:t>Gestión Ambiental y herramientas para el desarrollo sostenible y ratificada por el Consejo Directivo de 2020-11-25.</w:t>
      </w:r>
    </w:p>
    <w:p w14:paraId="67B0F168" w14:textId="77777777" w:rsidR="00D1319F" w:rsidRPr="00AB1C80" w:rsidRDefault="00D1319F" w:rsidP="00AB1C80">
      <w:pPr>
        <w:spacing w:line="276" w:lineRule="auto"/>
        <w:rPr>
          <w:rFonts w:cs="Arial"/>
          <w:color w:val="000000" w:themeColor="text1"/>
          <w:szCs w:val="24"/>
        </w:rPr>
      </w:pPr>
    </w:p>
    <w:p w14:paraId="5D0D5565" w14:textId="626C5E04" w:rsidR="007E0433" w:rsidRPr="00AB1C80" w:rsidRDefault="007E0433" w:rsidP="00AB1C80">
      <w:pPr>
        <w:spacing w:line="276" w:lineRule="auto"/>
        <w:rPr>
          <w:rFonts w:cs="Arial"/>
          <w:color w:val="000000" w:themeColor="text1"/>
          <w:szCs w:val="24"/>
        </w:rPr>
      </w:pPr>
      <w:r w:rsidRPr="00AB1C80">
        <w:rPr>
          <w:rFonts w:cs="Arial"/>
          <w:color w:val="000000" w:themeColor="text1"/>
          <w:szCs w:val="24"/>
        </w:rPr>
        <w:t xml:space="preserve">La </w:t>
      </w:r>
      <w:r w:rsidRPr="00AB1C80">
        <w:rPr>
          <w:rFonts w:cs="Arial"/>
          <w:i/>
          <w:iCs/>
          <w:color w:val="000000" w:themeColor="text1"/>
          <w:szCs w:val="24"/>
        </w:rPr>
        <w:t xml:space="preserve">GTC 314 – 2020 </w:t>
      </w:r>
      <w:r w:rsidRPr="00AB1C80">
        <w:rPr>
          <w:rFonts w:cs="Arial"/>
          <w:color w:val="000000" w:themeColor="text1"/>
          <w:szCs w:val="24"/>
        </w:rPr>
        <w:t xml:space="preserve">tiene por objeto ayudar a las organizaciones y los individuos a considerar e implementar prácticas más circulares y sostenibles dentro de sus negocios, ya sea a través de la mejora de las formas de trabajo, proporcionando más productos y servicios circulares, o rediseñando todo su modelo de negocio y su propuesta de valor. </w:t>
      </w:r>
    </w:p>
    <w:p w14:paraId="653CBCB3" w14:textId="77777777" w:rsidR="007E0433" w:rsidRPr="00AB1C80" w:rsidRDefault="007E0433" w:rsidP="00AB1C80">
      <w:pPr>
        <w:spacing w:line="276" w:lineRule="auto"/>
        <w:rPr>
          <w:rFonts w:cs="Arial"/>
          <w:color w:val="000000" w:themeColor="text1"/>
          <w:szCs w:val="24"/>
        </w:rPr>
      </w:pPr>
    </w:p>
    <w:p w14:paraId="269C6023" w14:textId="56EEE00F" w:rsidR="007E0433" w:rsidRPr="00AB1C80" w:rsidRDefault="007E0433" w:rsidP="00AB1C80">
      <w:pPr>
        <w:spacing w:line="276" w:lineRule="auto"/>
        <w:rPr>
          <w:rFonts w:cs="Arial"/>
          <w:color w:val="000000" w:themeColor="text1"/>
          <w:szCs w:val="24"/>
        </w:rPr>
      </w:pPr>
      <w:r w:rsidRPr="00AB1C80">
        <w:rPr>
          <w:rFonts w:cs="Arial"/>
          <w:color w:val="000000" w:themeColor="text1"/>
          <w:szCs w:val="24"/>
        </w:rPr>
        <w:t xml:space="preserve">Así mismo, proporciona un marco y orientación para una amplia gama de organizaciones, de diferentes tamaños y con diversos niveles de conocimiento y </w:t>
      </w:r>
      <w:r w:rsidRPr="00AB1C80">
        <w:rPr>
          <w:rFonts w:cs="Arial"/>
          <w:color w:val="000000" w:themeColor="text1"/>
          <w:szCs w:val="24"/>
        </w:rPr>
        <w:lastRenderedPageBreak/>
        <w:t>comprensión de la economía circular. Empezando con las iniciativas más pequeñas, del tipo "ganancia-rápida", esta guía puede ofrecer una buena manera para que las organizaciones que se inician en la economía circular adquieran la experiencia y la confianza pertinentes. Su objetivo es proporcionar a las organizaciones una comprensión de:</w:t>
      </w:r>
    </w:p>
    <w:p w14:paraId="11FD8616" w14:textId="77777777" w:rsidR="00271BB0" w:rsidRPr="00AB1C80" w:rsidRDefault="00271BB0" w:rsidP="00AB1C80">
      <w:pPr>
        <w:spacing w:line="276" w:lineRule="auto"/>
        <w:rPr>
          <w:rFonts w:cs="Arial"/>
          <w:color w:val="000000" w:themeColor="text1"/>
          <w:szCs w:val="24"/>
        </w:rPr>
      </w:pPr>
    </w:p>
    <w:p w14:paraId="0ECB6A64" w14:textId="77777777" w:rsidR="00271BB0" w:rsidRPr="00AB1C80" w:rsidRDefault="007E0433" w:rsidP="00AB1C80">
      <w:pPr>
        <w:pStyle w:val="Prrafodelista"/>
        <w:numPr>
          <w:ilvl w:val="0"/>
          <w:numId w:val="12"/>
        </w:numPr>
        <w:spacing w:line="276" w:lineRule="auto"/>
        <w:rPr>
          <w:rFonts w:cs="Arial"/>
          <w:color w:val="000000" w:themeColor="text1"/>
          <w:szCs w:val="24"/>
        </w:rPr>
      </w:pPr>
      <w:r w:rsidRPr="00AB1C80">
        <w:rPr>
          <w:rFonts w:cs="Arial"/>
          <w:color w:val="000000" w:themeColor="text1"/>
          <w:szCs w:val="24"/>
        </w:rPr>
        <w:t>Qué es la economía circular y cómo podría ser relevante tanto ahora como en el futuro; y</w:t>
      </w:r>
    </w:p>
    <w:p w14:paraId="486A6776" w14:textId="43DCF5B8" w:rsidR="007E0433" w:rsidRPr="00AB1C80" w:rsidRDefault="007E0433" w:rsidP="00AB1C80">
      <w:pPr>
        <w:pStyle w:val="Prrafodelista"/>
        <w:numPr>
          <w:ilvl w:val="0"/>
          <w:numId w:val="12"/>
        </w:numPr>
        <w:spacing w:line="276" w:lineRule="auto"/>
        <w:rPr>
          <w:rFonts w:cs="Arial"/>
          <w:color w:val="000000" w:themeColor="text1"/>
          <w:szCs w:val="24"/>
        </w:rPr>
      </w:pPr>
      <w:r w:rsidRPr="00AB1C80">
        <w:rPr>
          <w:rFonts w:cs="Arial"/>
          <w:color w:val="000000" w:themeColor="text1"/>
          <w:szCs w:val="24"/>
        </w:rPr>
        <w:t>Cómo aplicar los principios de la economía circular para crear valor directo e indirecto como resultado de la innovación en los procesos, productos o servicios o en los modelos de negocio</w:t>
      </w:r>
    </w:p>
    <w:p w14:paraId="4DD99CC3" w14:textId="77777777" w:rsidR="007E0433" w:rsidRPr="00AB1C80" w:rsidRDefault="007E0433" w:rsidP="00AB1C80">
      <w:pPr>
        <w:spacing w:line="276" w:lineRule="auto"/>
        <w:rPr>
          <w:rFonts w:cs="Arial"/>
          <w:color w:val="000000" w:themeColor="text1"/>
          <w:szCs w:val="24"/>
        </w:rPr>
      </w:pPr>
    </w:p>
    <w:p w14:paraId="69BC1EC5" w14:textId="0D7018F6" w:rsidR="00271BB0" w:rsidRPr="00AB1C80" w:rsidRDefault="00271BB0" w:rsidP="00AB1C80">
      <w:pPr>
        <w:spacing w:line="276" w:lineRule="auto"/>
        <w:rPr>
          <w:rFonts w:cs="Arial"/>
          <w:color w:val="000000" w:themeColor="text1"/>
          <w:szCs w:val="24"/>
        </w:rPr>
      </w:pPr>
      <w:r w:rsidRPr="00AB1C80">
        <w:rPr>
          <w:rFonts w:cs="Arial"/>
          <w:color w:val="000000" w:themeColor="text1"/>
          <w:szCs w:val="24"/>
        </w:rPr>
        <w:t>Al implementar los principios de la economía circular, el objetivo principal de una organización es crear valor comercial a largo plazo, a través de la gestión sostenible de los recursos de sus productos y servicios, Sin embargo, al aplicar los principios de la economía circular, es probable que las organizaciones se enfrenten a retos y desafíos como:</w:t>
      </w:r>
    </w:p>
    <w:p w14:paraId="70F56133" w14:textId="77777777" w:rsidR="00271BB0" w:rsidRPr="00AB1C80" w:rsidRDefault="00271BB0" w:rsidP="00AB1C80">
      <w:pPr>
        <w:spacing w:line="276" w:lineRule="auto"/>
        <w:rPr>
          <w:rFonts w:cs="Arial"/>
          <w:color w:val="000000" w:themeColor="text1"/>
          <w:szCs w:val="24"/>
        </w:rPr>
      </w:pPr>
    </w:p>
    <w:p w14:paraId="53F14E0B" w14:textId="77777777" w:rsidR="00271BB0" w:rsidRPr="00AB1C80" w:rsidRDefault="00271BB0" w:rsidP="00AB1C80">
      <w:pPr>
        <w:pStyle w:val="Prrafodelista"/>
        <w:numPr>
          <w:ilvl w:val="0"/>
          <w:numId w:val="11"/>
        </w:numPr>
        <w:spacing w:line="276" w:lineRule="auto"/>
        <w:rPr>
          <w:rFonts w:cs="Arial"/>
          <w:color w:val="000000" w:themeColor="text1"/>
          <w:szCs w:val="24"/>
        </w:rPr>
      </w:pPr>
      <w:r w:rsidRPr="00AB1C80">
        <w:rPr>
          <w:rFonts w:cs="Arial"/>
          <w:color w:val="000000" w:themeColor="text1"/>
          <w:szCs w:val="24"/>
        </w:rPr>
        <w:t>Adaptar sus actividades para operar de manera económica, ambiental y socialmente sostenible</w:t>
      </w:r>
    </w:p>
    <w:p w14:paraId="008D5A9E" w14:textId="77777777" w:rsidR="00271BB0" w:rsidRPr="00AB1C80" w:rsidRDefault="00271BB0" w:rsidP="00AB1C80">
      <w:pPr>
        <w:pStyle w:val="Prrafodelista"/>
        <w:numPr>
          <w:ilvl w:val="0"/>
          <w:numId w:val="11"/>
        </w:numPr>
        <w:spacing w:line="276" w:lineRule="auto"/>
        <w:rPr>
          <w:rFonts w:cs="Arial"/>
          <w:color w:val="000000" w:themeColor="text1"/>
          <w:szCs w:val="24"/>
        </w:rPr>
      </w:pPr>
      <w:r w:rsidRPr="00AB1C80">
        <w:rPr>
          <w:rFonts w:cs="Arial"/>
          <w:color w:val="000000" w:themeColor="text1"/>
          <w:szCs w:val="24"/>
        </w:rPr>
        <w:t>Satisfacer las necesidades y expectativas de los mercados nuevos y emergentes, ahora y en el futuro</w:t>
      </w:r>
    </w:p>
    <w:p w14:paraId="0583F1BB" w14:textId="7B658432" w:rsidR="00271BB0" w:rsidRPr="00AB1C80" w:rsidRDefault="00271BB0" w:rsidP="00AB1C80">
      <w:pPr>
        <w:pStyle w:val="Prrafodelista"/>
        <w:numPr>
          <w:ilvl w:val="0"/>
          <w:numId w:val="11"/>
        </w:numPr>
        <w:spacing w:line="276" w:lineRule="auto"/>
        <w:rPr>
          <w:rFonts w:cs="Arial"/>
          <w:color w:val="000000" w:themeColor="text1"/>
          <w:szCs w:val="24"/>
        </w:rPr>
      </w:pPr>
      <w:r w:rsidRPr="00AB1C80">
        <w:rPr>
          <w:rFonts w:cs="Arial"/>
          <w:color w:val="000000" w:themeColor="text1"/>
          <w:szCs w:val="24"/>
        </w:rPr>
        <w:t>Cumplir con los literales anteriores, operando dentro o a través de una gama de diferentes culturas de consumo, entornos legislativos y marcos económicos</w:t>
      </w:r>
    </w:p>
    <w:p w14:paraId="6DFDD24D" w14:textId="31DD5865" w:rsidR="007E0433" w:rsidRPr="00AB1C80" w:rsidRDefault="007E0433" w:rsidP="00AB1C80">
      <w:pPr>
        <w:spacing w:line="276" w:lineRule="auto"/>
        <w:rPr>
          <w:rFonts w:cs="Arial"/>
          <w:color w:val="000000" w:themeColor="text1"/>
          <w:szCs w:val="24"/>
        </w:rPr>
      </w:pPr>
    </w:p>
    <w:p w14:paraId="78DAA20A" w14:textId="163F0D76" w:rsidR="00271BB0" w:rsidRPr="00AB1C80" w:rsidRDefault="00E865B9" w:rsidP="00AB1C80">
      <w:pPr>
        <w:spacing w:line="276" w:lineRule="auto"/>
        <w:rPr>
          <w:rFonts w:cs="Arial"/>
          <w:color w:val="000000" w:themeColor="text1"/>
          <w:szCs w:val="24"/>
        </w:rPr>
      </w:pPr>
      <w:r w:rsidRPr="00AB1C80">
        <w:rPr>
          <w:rFonts w:cs="Arial"/>
          <w:color w:val="000000" w:themeColor="text1"/>
          <w:szCs w:val="24"/>
        </w:rPr>
        <w:t xml:space="preserve">Por lo tanto, y respondiendo a la inquietud de cómo aplicar los principios de la economía circular para crear valor directo e indirecto como resultado de la innovación en los procesos, productos o servicios o en los modelos de negocio, la </w:t>
      </w:r>
      <w:r w:rsidRPr="00AB1C80">
        <w:rPr>
          <w:rFonts w:cs="Arial"/>
          <w:i/>
          <w:iCs/>
          <w:color w:val="000000" w:themeColor="text1"/>
          <w:szCs w:val="24"/>
        </w:rPr>
        <w:t>GTC 314 – 2020</w:t>
      </w:r>
      <w:r w:rsidR="008D60AB" w:rsidRPr="00AB1C80">
        <w:rPr>
          <w:rFonts w:cs="Arial"/>
          <w:i/>
          <w:iCs/>
          <w:color w:val="000000" w:themeColor="text1"/>
          <w:szCs w:val="24"/>
        </w:rPr>
        <w:t xml:space="preserve"> </w:t>
      </w:r>
      <w:r w:rsidRPr="00AB1C80">
        <w:rPr>
          <w:rFonts w:cs="Arial"/>
          <w:color w:val="000000" w:themeColor="text1"/>
          <w:szCs w:val="24"/>
        </w:rPr>
        <w:t>presenta un marco flexible de ocho etapas como alternativas de solución para que las organizaciones implementen los principios de la economía circular en forma práctica.</w:t>
      </w:r>
    </w:p>
    <w:p w14:paraId="3E218002" w14:textId="2638AB10" w:rsidR="00271BB0" w:rsidRPr="00AB1C80" w:rsidRDefault="00271BB0" w:rsidP="00AB1C80">
      <w:pPr>
        <w:spacing w:line="276" w:lineRule="auto"/>
        <w:rPr>
          <w:rFonts w:cs="Arial"/>
          <w:color w:val="000000" w:themeColor="text1"/>
          <w:szCs w:val="24"/>
        </w:rPr>
      </w:pPr>
    </w:p>
    <w:p w14:paraId="147F1D55" w14:textId="472A594D" w:rsidR="00E865B9"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Etapa 1</w:t>
      </w:r>
      <w:r w:rsidRPr="00AB1C80">
        <w:rPr>
          <w:rFonts w:cs="Arial"/>
          <w:color w:val="000000" w:themeColor="text1"/>
          <w:szCs w:val="24"/>
        </w:rPr>
        <w:t xml:space="preserve">. </w:t>
      </w:r>
      <w:r w:rsidRPr="00AB1C80">
        <w:rPr>
          <w:rFonts w:cs="Arial"/>
          <w:b/>
          <w:bCs/>
          <w:color w:val="000000" w:themeColor="text1"/>
          <w:szCs w:val="24"/>
        </w:rPr>
        <w:t xml:space="preserve">Establecimiento del </w:t>
      </w:r>
      <w:r w:rsidR="003E557B" w:rsidRPr="00AB1C80">
        <w:rPr>
          <w:rFonts w:cs="Arial"/>
          <w:b/>
          <w:bCs/>
          <w:color w:val="000000" w:themeColor="text1"/>
          <w:szCs w:val="24"/>
        </w:rPr>
        <w:t>M</w:t>
      </w:r>
      <w:r w:rsidRPr="00AB1C80">
        <w:rPr>
          <w:rFonts w:cs="Arial"/>
          <w:b/>
          <w:bCs/>
          <w:color w:val="000000" w:themeColor="text1"/>
          <w:szCs w:val="24"/>
        </w:rPr>
        <w:t>arco:</w:t>
      </w:r>
      <w:r w:rsidRPr="00AB1C80">
        <w:rPr>
          <w:rFonts w:cs="Arial"/>
          <w:color w:val="000000" w:themeColor="text1"/>
          <w:szCs w:val="24"/>
        </w:rPr>
        <w:t xml:space="preserve"> las organizaciones deberían determinar la pertinencia de la economía circular para sus negocios e identificar por dónde empezar.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Evaluar la situación actual y la relevancia de la economía circular, </w:t>
      </w:r>
      <w:r w:rsidR="000D6018" w:rsidRPr="00AB1C80">
        <w:rPr>
          <w:rFonts w:cs="Arial"/>
          <w:color w:val="000000" w:themeColor="text1"/>
          <w:szCs w:val="24"/>
        </w:rPr>
        <w:t xml:space="preserve">b) </w:t>
      </w:r>
      <w:r w:rsidRPr="00AB1C80">
        <w:rPr>
          <w:rFonts w:cs="Arial"/>
          <w:color w:val="000000" w:themeColor="text1"/>
          <w:szCs w:val="24"/>
        </w:rPr>
        <w:t xml:space="preserve">Mapeo de partes interesadas y, </w:t>
      </w:r>
      <w:r w:rsidR="000D6018" w:rsidRPr="00AB1C80">
        <w:rPr>
          <w:rFonts w:cs="Arial"/>
          <w:color w:val="000000" w:themeColor="text1"/>
          <w:szCs w:val="24"/>
        </w:rPr>
        <w:t xml:space="preserve">c) </w:t>
      </w:r>
      <w:r w:rsidRPr="00AB1C80">
        <w:rPr>
          <w:rFonts w:cs="Arial"/>
          <w:color w:val="000000" w:themeColor="text1"/>
          <w:szCs w:val="24"/>
        </w:rPr>
        <w:t>Generar conciencia y entusiasmo.</w:t>
      </w:r>
    </w:p>
    <w:p w14:paraId="5485D4A4" w14:textId="77777777" w:rsidR="00E865B9" w:rsidRPr="00AB1C80" w:rsidRDefault="00E865B9" w:rsidP="00AB1C80">
      <w:pPr>
        <w:pStyle w:val="Prrafodelista"/>
        <w:spacing w:line="276" w:lineRule="auto"/>
        <w:rPr>
          <w:rFonts w:cs="Arial"/>
          <w:color w:val="000000" w:themeColor="text1"/>
          <w:szCs w:val="24"/>
        </w:rPr>
      </w:pPr>
    </w:p>
    <w:p w14:paraId="69CA8B59" w14:textId="019AB7BF" w:rsidR="00E865B9"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Etapa 2. Definición del Alcance:</w:t>
      </w:r>
      <w:r w:rsidRPr="00AB1C80">
        <w:rPr>
          <w:rFonts w:cs="Arial"/>
          <w:color w:val="000000" w:themeColor="text1"/>
          <w:szCs w:val="24"/>
        </w:rPr>
        <w:t xml:space="preserve"> al considerar una visión, un plan estratégico y una dirección para la actividad de la economía circular, las organizaciones deberían examinar cuidadosamente qué es posible y/o necesario en el contexto de la economía circular.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Identificar los sistemas que se van a explorar e influenciar, </w:t>
      </w:r>
      <w:r w:rsidR="000D6018" w:rsidRPr="00AB1C80">
        <w:rPr>
          <w:rFonts w:cs="Arial"/>
          <w:color w:val="000000" w:themeColor="text1"/>
          <w:szCs w:val="24"/>
        </w:rPr>
        <w:t xml:space="preserve">b) </w:t>
      </w:r>
      <w:r w:rsidRPr="00AB1C80">
        <w:rPr>
          <w:rFonts w:cs="Arial"/>
          <w:color w:val="000000" w:themeColor="text1"/>
          <w:szCs w:val="24"/>
        </w:rPr>
        <w:t xml:space="preserve">Comprender la visión actual de la organización y cómo la economía circular podría apoyar o socavar la entrega de su propuesta de valor a largo plazo, </w:t>
      </w:r>
      <w:r w:rsidR="000D6018" w:rsidRPr="00AB1C80">
        <w:rPr>
          <w:rFonts w:cs="Arial"/>
          <w:color w:val="000000" w:themeColor="text1"/>
          <w:szCs w:val="24"/>
        </w:rPr>
        <w:t xml:space="preserve">c) </w:t>
      </w:r>
      <w:r w:rsidRPr="00AB1C80">
        <w:rPr>
          <w:rFonts w:cs="Arial"/>
          <w:color w:val="000000" w:themeColor="text1"/>
          <w:szCs w:val="24"/>
        </w:rPr>
        <w:t>Acordar la visión y la estrategia de alto nivel.</w:t>
      </w:r>
    </w:p>
    <w:p w14:paraId="1A50B1CC" w14:textId="77777777" w:rsidR="00E865B9" w:rsidRPr="00AB1C80" w:rsidRDefault="00E865B9" w:rsidP="00AB1C80">
      <w:pPr>
        <w:pStyle w:val="Prrafodelista"/>
        <w:spacing w:line="276" w:lineRule="auto"/>
        <w:rPr>
          <w:rFonts w:cs="Arial"/>
          <w:color w:val="000000" w:themeColor="text1"/>
          <w:szCs w:val="24"/>
        </w:rPr>
      </w:pPr>
    </w:p>
    <w:p w14:paraId="34B8A2EF" w14:textId="57259AF9" w:rsidR="006A1CB0"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Etapa 3. Generación de Ideas:</w:t>
      </w:r>
      <w:r w:rsidRPr="00AB1C80">
        <w:rPr>
          <w:rFonts w:cs="Arial"/>
          <w:color w:val="000000" w:themeColor="text1"/>
          <w:szCs w:val="24"/>
        </w:rPr>
        <w:t xml:space="preserve"> las organizaciones deberían elaborar una lista de ideas/opciones para abordar los problemas y oportunidades identificados en la etapa 2 y darles prioridad de acuerdo con el contexto de su visión de la economía circular, su plan estratégico y sus objetivos.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Definir los objetivos y aclarar los resúmenes/temas para la exploración, </w:t>
      </w:r>
      <w:r w:rsidR="000D6018" w:rsidRPr="00AB1C80">
        <w:rPr>
          <w:rFonts w:cs="Arial"/>
          <w:color w:val="000000" w:themeColor="text1"/>
          <w:szCs w:val="24"/>
        </w:rPr>
        <w:t xml:space="preserve">b) </w:t>
      </w:r>
      <w:r w:rsidRPr="00AB1C80">
        <w:rPr>
          <w:rFonts w:cs="Arial"/>
          <w:color w:val="000000" w:themeColor="text1"/>
          <w:szCs w:val="24"/>
        </w:rPr>
        <w:t>Identificar la lista de ideas/opciones y priorizarlas en consecuencia</w:t>
      </w:r>
      <w:r w:rsidR="00A87516" w:rsidRPr="00AB1C80">
        <w:rPr>
          <w:rFonts w:cs="Arial"/>
          <w:color w:val="000000" w:themeColor="text1"/>
          <w:szCs w:val="24"/>
        </w:rPr>
        <w:t>.</w:t>
      </w:r>
    </w:p>
    <w:p w14:paraId="2A4F8A96" w14:textId="77777777" w:rsidR="006A1CB0" w:rsidRPr="00AB1C80" w:rsidRDefault="006A1CB0" w:rsidP="00AB1C80">
      <w:pPr>
        <w:pStyle w:val="Prrafodelista"/>
        <w:spacing w:line="276" w:lineRule="auto"/>
        <w:rPr>
          <w:rFonts w:cs="Arial"/>
          <w:color w:val="000000" w:themeColor="text1"/>
          <w:szCs w:val="24"/>
        </w:rPr>
      </w:pPr>
    </w:p>
    <w:p w14:paraId="3639113B" w14:textId="6743392D" w:rsidR="006A1CB0"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Etapa 4. Factibilidad:</w:t>
      </w:r>
      <w:r w:rsidRPr="00AB1C80">
        <w:rPr>
          <w:rFonts w:cs="Arial"/>
          <w:color w:val="000000" w:themeColor="text1"/>
          <w:szCs w:val="24"/>
        </w:rPr>
        <w:t xml:space="preserve"> </w:t>
      </w:r>
      <w:r w:rsidR="006A1CB0" w:rsidRPr="00AB1C80">
        <w:rPr>
          <w:rFonts w:cs="Arial"/>
          <w:color w:val="000000" w:themeColor="text1"/>
          <w:szCs w:val="24"/>
        </w:rPr>
        <w:t>l</w:t>
      </w:r>
      <w:r w:rsidRPr="00AB1C80">
        <w:rPr>
          <w:rFonts w:cs="Arial"/>
          <w:color w:val="000000" w:themeColor="text1"/>
          <w:szCs w:val="24"/>
        </w:rPr>
        <w:t xml:space="preserve">as organizaciones deberían evaluar la viabilidad del progreso de sus ideas/opciones prioritarias identificadas en la Etapa 3. Para ello, se deben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Definir y emprender la evaluación de la factibilidad, </w:t>
      </w:r>
      <w:r w:rsidR="000D6018" w:rsidRPr="00AB1C80">
        <w:rPr>
          <w:rFonts w:cs="Arial"/>
          <w:color w:val="000000" w:themeColor="text1"/>
          <w:szCs w:val="24"/>
        </w:rPr>
        <w:t xml:space="preserve">b) </w:t>
      </w:r>
      <w:r w:rsidRPr="00AB1C80">
        <w:rPr>
          <w:rFonts w:cs="Arial"/>
          <w:color w:val="000000" w:themeColor="text1"/>
          <w:szCs w:val="24"/>
        </w:rPr>
        <w:t>Revisar y/o conformar ideas/opciones.</w:t>
      </w:r>
    </w:p>
    <w:p w14:paraId="4656D714" w14:textId="77777777" w:rsidR="006A1CB0" w:rsidRPr="00AB1C80" w:rsidRDefault="006A1CB0" w:rsidP="00AB1C80">
      <w:pPr>
        <w:pStyle w:val="Prrafodelista"/>
        <w:spacing w:line="276" w:lineRule="auto"/>
        <w:rPr>
          <w:rFonts w:cs="Arial"/>
          <w:color w:val="000000" w:themeColor="text1"/>
          <w:szCs w:val="24"/>
        </w:rPr>
      </w:pPr>
    </w:p>
    <w:p w14:paraId="1E2AC773" w14:textId="1A7B6E96" w:rsidR="006A1CB0"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 xml:space="preserve">Etapa 5. Proyecto </w:t>
      </w:r>
      <w:r w:rsidR="003E557B" w:rsidRPr="00AB1C80">
        <w:rPr>
          <w:rFonts w:cs="Arial"/>
          <w:b/>
          <w:bCs/>
          <w:color w:val="000000" w:themeColor="text1"/>
          <w:szCs w:val="24"/>
        </w:rPr>
        <w:t>E</w:t>
      </w:r>
      <w:r w:rsidRPr="00AB1C80">
        <w:rPr>
          <w:rFonts w:cs="Arial"/>
          <w:b/>
          <w:bCs/>
          <w:color w:val="000000" w:themeColor="text1"/>
          <w:szCs w:val="24"/>
        </w:rPr>
        <w:t>mpresarial:</w:t>
      </w:r>
      <w:r w:rsidRPr="00AB1C80">
        <w:rPr>
          <w:rFonts w:cs="Arial"/>
          <w:color w:val="000000" w:themeColor="text1"/>
          <w:szCs w:val="24"/>
        </w:rPr>
        <w:t xml:space="preserve"> </w:t>
      </w:r>
      <w:r w:rsidR="006A1CB0" w:rsidRPr="00AB1C80">
        <w:rPr>
          <w:rFonts w:cs="Arial"/>
          <w:color w:val="000000" w:themeColor="text1"/>
          <w:szCs w:val="24"/>
        </w:rPr>
        <w:t>l</w:t>
      </w:r>
      <w:r w:rsidRPr="00AB1C80">
        <w:rPr>
          <w:rFonts w:cs="Arial"/>
          <w:color w:val="000000" w:themeColor="text1"/>
          <w:szCs w:val="24"/>
        </w:rPr>
        <w:t xml:space="preserve">as organizaciones deberían desarrollar un proyecto empresarial a fin de asegurar los recursos necesarios para poner a prueba nuevas ideas/opciones y luego aplicarlas, ampliarlas y ponerlas en marcha.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Desarrollar un proyecto empresarial detallado.</w:t>
      </w:r>
    </w:p>
    <w:p w14:paraId="6A323EE5" w14:textId="77777777" w:rsidR="006A1CB0" w:rsidRPr="00AB1C80" w:rsidRDefault="006A1CB0" w:rsidP="00AB1C80">
      <w:pPr>
        <w:pStyle w:val="Prrafodelista"/>
        <w:spacing w:line="276" w:lineRule="auto"/>
        <w:rPr>
          <w:rFonts w:cs="Arial"/>
          <w:color w:val="000000" w:themeColor="text1"/>
          <w:szCs w:val="24"/>
        </w:rPr>
      </w:pPr>
    </w:p>
    <w:p w14:paraId="42FAD582" w14:textId="4777218A" w:rsidR="000D6018"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 xml:space="preserve">Etapa 6. Creación de </w:t>
      </w:r>
      <w:r w:rsidR="003E557B" w:rsidRPr="00AB1C80">
        <w:rPr>
          <w:rFonts w:cs="Arial"/>
          <w:b/>
          <w:bCs/>
          <w:color w:val="000000" w:themeColor="text1"/>
          <w:szCs w:val="24"/>
        </w:rPr>
        <w:t>P</w:t>
      </w:r>
      <w:r w:rsidRPr="00AB1C80">
        <w:rPr>
          <w:rFonts w:cs="Arial"/>
          <w:b/>
          <w:bCs/>
          <w:color w:val="000000" w:themeColor="text1"/>
          <w:szCs w:val="24"/>
        </w:rPr>
        <w:t xml:space="preserve">ruebas </w:t>
      </w:r>
      <w:r w:rsidR="003E557B" w:rsidRPr="00AB1C80">
        <w:rPr>
          <w:rFonts w:cs="Arial"/>
          <w:b/>
          <w:bCs/>
          <w:color w:val="000000" w:themeColor="text1"/>
          <w:szCs w:val="24"/>
        </w:rPr>
        <w:t>P</w:t>
      </w:r>
      <w:r w:rsidRPr="00AB1C80">
        <w:rPr>
          <w:rFonts w:cs="Arial"/>
          <w:b/>
          <w:bCs/>
          <w:color w:val="000000" w:themeColor="text1"/>
          <w:szCs w:val="24"/>
        </w:rPr>
        <w:t xml:space="preserve">iloto y </w:t>
      </w:r>
      <w:r w:rsidR="003E557B" w:rsidRPr="00AB1C80">
        <w:rPr>
          <w:rFonts w:cs="Arial"/>
          <w:b/>
          <w:bCs/>
          <w:color w:val="000000" w:themeColor="text1"/>
          <w:szCs w:val="24"/>
        </w:rPr>
        <w:t>P</w:t>
      </w:r>
      <w:r w:rsidRPr="00AB1C80">
        <w:rPr>
          <w:rFonts w:cs="Arial"/>
          <w:b/>
          <w:bCs/>
          <w:color w:val="000000" w:themeColor="text1"/>
          <w:szCs w:val="24"/>
        </w:rPr>
        <w:t>rototipos:</w:t>
      </w:r>
      <w:r w:rsidRPr="00AB1C80">
        <w:rPr>
          <w:rFonts w:cs="Arial"/>
          <w:color w:val="000000" w:themeColor="text1"/>
          <w:szCs w:val="24"/>
        </w:rPr>
        <w:t xml:space="preserve"> </w:t>
      </w:r>
      <w:r w:rsidR="000D6018" w:rsidRPr="00AB1C80">
        <w:rPr>
          <w:rFonts w:cs="Arial"/>
          <w:color w:val="000000" w:themeColor="text1"/>
          <w:szCs w:val="24"/>
        </w:rPr>
        <w:t>l</w:t>
      </w:r>
      <w:r w:rsidRPr="00AB1C80">
        <w:rPr>
          <w:rFonts w:cs="Arial"/>
          <w:color w:val="000000" w:themeColor="text1"/>
          <w:szCs w:val="24"/>
        </w:rPr>
        <w:t xml:space="preserve">as organizaciones deberían experimentar con ideas/opciones a pequeña escala para determinar su viabilidad práctica.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Establecer propiedad y gobernanza, </w:t>
      </w:r>
      <w:r w:rsidR="000D6018" w:rsidRPr="00AB1C80">
        <w:rPr>
          <w:rFonts w:cs="Arial"/>
          <w:color w:val="000000" w:themeColor="text1"/>
          <w:szCs w:val="24"/>
        </w:rPr>
        <w:t xml:space="preserve">b) </w:t>
      </w:r>
      <w:r w:rsidRPr="00AB1C80">
        <w:rPr>
          <w:rFonts w:cs="Arial"/>
          <w:color w:val="000000" w:themeColor="text1"/>
          <w:szCs w:val="24"/>
        </w:rPr>
        <w:t xml:space="preserve">Desarrollar un plan para las pruebas piloto, la creación de prototipos o el desarrollo, </w:t>
      </w:r>
      <w:r w:rsidR="000D6018" w:rsidRPr="00AB1C80">
        <w:rPr>
          <w:rFonts w:cs="Arial"/>
          <w:color w:val="000000" w:themeColor="text1"/>
          <w:szCs w:val="24"/>
        </w:rPr>
        <w:t xml:space="preserve">c) </w:t>
      </w:r>
      <w:r w:rsidRPr="00AB1C80">
        <w:rPr>
          <w:rFonts w:cs="Arial"/>
          <w:color w:val="000000" w:themeColor="text1"/>
          <w:szCs w:val="24"/>
        </w:rPr>
        <w:t>Conducir y revisar la prueba piloto/el prototipo</w:t>
      </w:r>
      <w:r w:rsidR="000D6018" w:rsidRPr="00AB1C80">
        <w:rPr>
          <w:rFonts w:cs="Arial"/>
          <w:color w:val="000000" w:themeColor="text1"/>
          <w:szCs w:val="24"/>
        </w:rPr>
        <w:t>.</w:t>
      </w:r>
    </w:p>
    <w:p w14:paraId="2BDDB984" w14:textId="77777777" w:rsidR="000D6018" w:rsidRPr="00AB1C80" w:rsidRDefault="000D6018" w:rsidP="00AB1C80">
      <w:pPr>
        <w:pStyle w:val="Prrafodelista"/>
        <w:spacing w:line="276" w:lineRule="auto"/>
        <w:rPr>
          <w:rFonts w:cs="Arial"/>
          <w:b/>
          <w:bCs/>
          <w:color w:val="000000" w:themeColor="text1"/>
          <w:szCs w:val="24"/>
        </w:rPr>
      </w:pPr>
    </w:p>
    <w:p w14:paraId="672D4D33" w14:textId="20CB850F" w:rsidR="000D6018"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 xml:space="preserve">Etapa 7. Entrega e </w:t>
      </w:r>
      <w:r w:rsidR="003E557B" w:rsidRPr="00AB1C80">
        <w:rPr>
          <w:rFonts w:cs="Arial"/>
          <w:b/>
          <w:bCs/>
          <w:color w:val="000000" w:themeColor="text1"/>
          <w:szCs w:val="24"/>
        </w:rPr>
        <w:t>I</w:t>
      </w:r>
      <w:r w:rsidRPr="00AB1C80">
        <w:rPr>
          <w:rFonts w:cs="Arial"/>
          <w:b/>
          <w:bCs/>
          <w:color w:val="000000" w:themeColor="text1"/>
          <w:szCs w:val="24"/>
        </w:rPr>
        <w:t>mplementación:</w:t>
      </w:r>
      <w:r w:rsidR="000D6018" w:rsidRPr="00AB1C80">
        <w:rPr>
          <w:rFonts w:cs="Arial"/>
          <w:color w:val="000000" w:themeColor="text1"/>
          <w:szCs w:val="24"/>
        </w:rPr>
        <w:t xml:space="preserve"> l</w:t>
      </w:r>
      <w:r w:rsidRPr="00AB1C80">
        <w:rPr>
          <w:rFonts w:cs="Arial"/>
          <w:color w:val="000000" w:themeColor="text1"/>
          <w:szCs w:val="24"/>
        </w:rPr>
        <w:t xml:space="preserve">as organizaciones deberían ampliar/desplegar la adopción e integración de enfoques comprobados para </w:t>
      </w:r>
      <w:r w:rsidRPr="00AB1C80">
        <w:rPr>
          <w:rFonts w:cs="Arial"/>
          <w:color w:val="000000" w:themeColor="text1"/>
          <w:szCs w:val="24"/>
        </w:rPr>
        <w:lastRenderedPageBreak/>
        <w:t xml:space="preserve">la transición a un modo de operación más circular y sostenible.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Elaborar y ejecutar el plan de entrega y su aplicación, </w:t>
      </w:r>
      <w:r w:rsidR="000D6018" w:rsidRPr="00AB1C80">
        <w:rPr>
          <w:rFonts w:cs="Arial"/>
          <w:color w:val="000000" w:themeColor="text1"/>
          <w:szCs w:val="24"/>
        </w:rPr>
        <w:t xml:space="preserve">b) </w:t>
      </w:r>
      <w:r w:rsidRPr="00AB1C80">
        <w:rPr>
          <w:rFonts w:cs="Arial"/>
          <w:color w:val="000000" w:themeColor="text1"/>
          <w:szCs w:val="24"/>
        </w:rPr>
        <w:t>Mecanismos para medir el progreso a lo largo del tiempo</w:t>
      </w:r>
      <w:r w:rsidR="000D6018" w:rsidRPr="00AB1C80">
        <w:rPr>
          <w:rFonts w:cs="Arial"/>
          <w:color w:val="000000" w:themeColor="text1"/>
          <w:szCs w:val="24"/>
        </w:rPr>
        <w:t>.</w:t>
      </w:r>
    </w:p>
    <w:p w14:paraId="4FF7806F" w14:textId="77777777" w:rsidR="000D6018" w:rsidRPr="00AB1C80" w:rsidRDefault="000D6018" w:rsidP="00AB1C80">
      <w:pPr>
        <w:pStyle w:val="Prrafodelista"/>
        <w:spacing w:line="276" w:lineRule="auto"/>
        <w:rPr>
          <w:rFonts w:cs="Arial"/>
          <w:color w:val="000000" w:themeColor="text1"/>
          <w:szCs w:val="24"/>
        </w:rPr>
      </w:pPr>
    </w:p>
    <w:p w14:paraId="6FAE6B24" w14:textId="6CFF16C1" w:rsidR="00E865B9" w:rsidRPr="00AB1C80" w:rsidRDefault="00E865B9" w:rsidP="00AB1C80">
      <w:pPr>
        <w:pStyle w:val="Prrafodelista"/>
        <w:numPr>
          <w:ilvl w:val="0"/>
          <w:numId w:val="13"/>
        </w:numPr>
        <w:spacing w:line="276" w:lineRule="auto"/>
        <w:rPr>
          <w:rFonts w:cs="Arial"/>
          <w:color w:val="000000" w:themeColor="text1"/>
          <w:szCs w:val="24"/>
        </w:rPr>
      </w:pPr>
      <w:r w:rsidRPr="00AB1C80">
        <w:rPr>
          <w:rFonts w:cs="Arial"/>
          <w:b/>
          <w:bCs/>
          <w:color w:val="000000" w:themeColor="text1"/>
          <w:szCs w:val="24"/>
        </w:rPr>
        <w:t xml:space="preserve">Etapa 8. Realizar </w:t>
      </w:r>
      <w:r w:rsidR="003E557B" w:rsidRPr="00AB1C80">
        <w:rPr>
          <w:rFonts w:cs="Arial"/>
          <w:b/>
          <w:bCs/>
          <w:color w:val="000000" w:themeColor="text1"/>
          <w:szCs w:val="24"/>
        </w:rPr>
        <w:t>S</w:t>
      </w:r>
      <w:r w:rsidRPr="00AB1C80">
        <w:rPr>
          <w:rFonts w:cs="Arial"/>
          <w:b/>
          <w:bCs/>
          <w:color w:val="000000" w:themeColor="text1"/>
          <w:szCs w:val="24"/>
        </w:rPr>
        <w:t xml:space="preserve">eguimiento, </w:t>
      </w:r>
      <w:r w:rsidR="003E557B" w:rsidRPr="00AB1C80">
        <w:rPr>
          <w:rFonts w:cs="Arial"/>
          <w:b/>
          <w:bCs/>
          <w:color w:val="000000" w:themeColor="text1"/>
          <w:szCs w:val="24"/>
        </w:rPr>
        <w:t>R</w:t>
      </w:r>
      <w:r w:rsidRPr="00AB1C80">
        <w:rPr>
          <w:rFonts w:cs="Arial"/>
          <w:b/>
          <w:bCs/>
          <w:color w:val="000000" w:themeColor="text1"/>
          <w:szCs w:val="24"/>
        </w:rPr>
        <w:t xml:space="preserve">evisión e </w:t>
      </w:r>
      <w:r w:rsidR="003E557B" w:rsidRPr="00AB1C80">
        <w:rPr>
          <w:rFonts w:cs="Arial"/>
          <w:b/>
          <w:bCs/>
          <w:color w:val="000000" w:themeColor="text1"/>
          <w:szCs w:val="24"/>
        </w:rPr>
        <w:t>I</w:t>
      </w:r>
      <w:r w:rsidRPr="00AB1C80">
        <w:rPr>
          <w:rFonts w:cs="Arial"/>
          <w:b/>
          <w:bCs/>
          <w:color w:val="000000" w:themeColor="text1"/>
          <w:szCs w:val="24"/>
        </w:rPr>
        <w:t>nformes:</w:t>
      </w:r>
      <w:r w:rsidRPr="00AB1C80">
        <w:rPr>
          <w:rFonts w:cs="Arial"/>
          <w:color w:val="000000" w:themeColor="text1"/>
          <w:szCs w:val="24"/>
        </w:rPr>
        <w:t xml:space="preserve"> </w:t>
      </w:r>
      <w:r w:rsidR="000D6018" w:rsidRPr="00AB1C80">
        <w:rPr>
          <w:rFonts w:cs="Arial"/>
          <w:color w:val="000000" w:themeColor="text1"/>
          <w:szCs w:val="24"/>
        </w:rPr>
        <w:t>l</w:t>
      </w:r>
      <w:r w:rsidRPr="00AB1C80">
        <w:rPr>
          <w:rFonts w:cs="Arial"/>
          <w:color w:val="000000" w:themeColor="text1"/>
          <w:szCs w:val="24"/>
        </w:rPr>
        <w:t xml:space="preserve">as organizaciones deberían hacer un seguimiento del desempeño para asegurar el éxito constante y la mejora continua y transformadora. Para ello, se deberían llevar a cabo las siguientes acciones: </w:t>
      </w:r>
      <w:r w:rsidR="000D6018" w:rsidRPr="00AB1C80">
        <w:rPr>
          <w:rFonts w:cs="Arial"/>
          <w:color w:val="000000" w:themeColor="text1"/>
          <w:szCs w:val="24"/>
        </w:rPr>
        <w:t xml:space="preserve">a) </w:t>
      </w:r>
      <w:r w:rsidRPr="00AB1C80">
        <w:rPr>
          <w:rFonts w:cs="Arial"/>
          <w:color w:val="000000" w:themeColor="text1"/>
          <w:szCs w:val="24"/>
        </w:rPr>
        <w:t xml:space="preserve">Seguimiento y medición, </w:t>
      </w:r>
      <w:r w:rsidR="000D6018" w:rsidRPr="00AB1C80">
        <w:rPr>
          <w:rFonts w:cs="Arial"/>
          <w:color w:val="000000" w:themeColor="text1"/>
          <w:szCs w:val="24"/>
        </w:rPr>
        <w:t xml:space="preserve">b) </w:t>
      </w:r>
      <w:r w:rsidRPr="00AB1C80">
        <w:rPr>
          <w:rFonts w:cs="Arial"/>
          <w:color w:val="000000" w:themeColor="text1"/>
          <w:szCs w:val="24"/>
        </w:rPr>
        <w:t>Informe del avance</w:t>
      </w:r>
      <w:r w:rsidR="000D6018" w:rsidRPr="00AB1C80">
        <w:rPr>
          <w:rFonts w:cs="Arial"/>
          <w:color w:val="000000" w:themeColor="text1"/>
          <w:szCs w:val="24"/>
        </w:rPr>
        <w:t xml:space="preserve"> y c) </w:t>
      </w:r>
      <w:r w:rsidRPr="00AB1C80">
        <w:rPr>
          <w:rFonts w:cs="Arial"/>
          <w:color w:val="000000" w:themeColor="text1"/>
          <w:szCs w:val="24"/>
        </w:rPr>
        <w:t>Mejora continua.</w:t>
      </w:r>
    </w:p>
    <w:p w14:paraId="32CF9099" w14:textId="3B1D400E" w:rsidR="00271BB0" w:rsidRPr="00AB1C80" w:rsidRDefault="00271BB0" w:rsidP="00AB1C80">
      <w:pPr>
        <w:spacing w:line="276" w:lineRule="auto"/>
        <w:rPr>
          <w:rFonts w:cs="Arial"/>
          <w:color w:val="000000" w:themeColor="text1"/>
          <w:szCs w:val="24"/>
        </w:rPr>
      </w:pPr>
    </w:p>
    <w:p w14:paraId="1698C0E5" w14:textId="2A7C12AA" w:rsidR="002E3F8E" w:rsidRPr="00AB1C80" w:rsidRDefault="002E3F8E" w:rsidP="00AB1C80">
      <w:pPr>
        <w:spacing w:line="276" w:lineRule="auto"/>
        <w:rPr>
          <w:rFonts w:cs="Arial"/>
          <w:color w:val="000000" w:themeColor="text1"/>
          <w:szCs w:val="24"/>
        </w:rPr>
      </w:pPr>
      <w:r w:rsidRPr="00AB1C80">
        <w:rPr>
          <w:rFonts w:cs="Arial"/>
          <w:color w:val="000000" w:themeColor="text1"/>
          <w:szCs w:val="24"/>
        </w:rPr>
        <w:t xml:space="preserve">En términos de </w:t>
      </w:r>
      <w:r w:rsidRPr="00AB1C80">
        <w:rPr>
          <w:rFonts w:eastAsia="ArialMT" w:cs="Arial"/>
          <w:bCs/>
          <w:color w:val="000000" w:themeColor="text1"/>
          <w:szCs w:val="24"/>
        </w:rPr>
        <w:t>modelos de negocio</w:t>
      </w:r>
      <w:r w:rsidRPr="00AB1C80">
        <w:rPr>
          <w:rFonts w:cs="Arial"/>
          <w:color w:val="000000" w:themeColor="text1"/>
          <w:szCs w:val="24"/>
        </w:rPr>
        <w:t>, estos comprenden un sistema elegido por la organización de decisiones y actividades interconectadas e interdependientes, que determina la forma en que crea, entrega y captura el valor a corto, mediano y largo plazo. Sin embargo, la innovación del modelo de negocio para la economía circular va más allá de los avances en los procesos y/o productos o servicios.</w:t>
      </w:r>
    </w:p>
    <w:p w14:paraId="7D2CDBD1" w14:textId="77777777" w:rsidR="002E3F8E" w:rsidRPr="00AB1C80" w:rsidRDefault="002E3F8E" w:rsidP="00AB1C80">
      <w:pPr>
        <w:spacing w:line="276" w:lineRule="auto"/>
        <w:rPr>
          <w:rFonts w:cs="Arial"/>
          <w:color w:val="000000" w:themeColor="text1"/>
          <w:szCs w:val="24"/>
        </w:rPr>
      </w:pPr>
    </w:p>
    <w:p w14:paraId="0D1502D5" w14:textId="36D47217" w:rsidR="002E3F8E" w:rsidRPr="00AB1C80" w:rsidRDefault="002E3F8E" w:rsidP="00AB1C80">
      <w:pPr>
        <w:spacing w:line="276" w:lineRule="auto"/>
        <w:rPr>
          <w:rFonts w:cs="Arial"/>
          <w:color w:val="000000" w:themeColor="text1"/>
          <w:szCs w:val="24"/>
        </w:rPr>
      </w:pPr>
      <w:r w:rsidRPr="00AB1C80">
        <w:rPr>
          <w:rFonts w:cs="Arial"/>
          <w:color w:val="000000" w:themeColor="text1"/>
          <w:szCs w:val="24"/>
        </w:rPr>
        <w:t>De allí, parte dos consideraciones que tiene como objeto dar una visión general de:</w:t>
      </w:r>
    </w:p>
    <w:p w14:paraId="0F29A1C8" w14:textId="77777777" w:rsidR="002E3F8E" w:rsidRPr="00AB1C80" w:rsidRDefault="002E3F8E" w:rsidP="00AB1C80">
      <w:pPr>
        <w:spacing w:line="276" w:lineRule="auto"/>
        <w:rPr>
          <w:rFonts w:cs="Arial"/>
          <w:color w:val="000000" w:themeColor="text1"/>
          <w:szCs w:val="24"/>
        </w:rPr>
      </w:pPr>
    </w:p>
    <w:p w14:paraId="67BF21AF" w14:textId="77777777" w:rsidR="002E3F8E" w:rsidRPr="00AB1C80" w:rsidRDefault="002E3F8E" w:rsidP="00AB1C80">
      <w:pPr>
        <w:pStyle w:val="Prrafodelista"/>
        <w:numPr>
          <w:ilvl w:val="0"/>
          <w:numId w:val="14"/>
        </w:numPr>
        <w:spacing w:line="276" w:lineRule="auto"/>
        <w:rPr>
          <w:rFonts w:cs="Arial"/>
          <w:color w:val="000000" w:themeColor="text1"/>
          <w:szCs w:val="24"/>
        </w:rPr>
      </w:pPr>
      <w:r w:rsidRPr="00AB1C80">
        <w:rPr>
          <w:rFonts w:cs="Arial"/>
          <w:color w:val="000000" w:themeColor="text1"/>
          <w:szCs w:val="24"/>
        </w:rPr>
        <w:t xml:space="preserve">Las consideraciones clave para una organización al seleccionar un modelo de negocio; y </w:t>
      </w:r>
    </w:p>
    <w:p w14:paraId="364C0A37" w14:textId="13420B7B" w:rsidR="002E3F8E" w:rsidRPr="00AB1C80" w:rsidRDefault="002E3F8E" w:rsidP="00AB1C80">
      <w:pPr>
        <w:pStyle w:val="Prrafodelista"/>
        <w:numPr>
          <w:ilvl w:val="0"/>
          <w:numId w:val="14"/>
        </w:numPr>
        <w:spacing w:line="276" w:lineRule="auto"/>
        <w:rPr>
          <w:rFonts w:cs="Arial"/>
          <w:color w:val="000000" w:themeColor="text1"/>
          <w:szCs w:val="24"/>
        </w:rPr>
      </w:pPr>
      <w:r w:rsidRPr="00AB1C80">
        <w:rPr>
          <w:rFonts w:cs="Arial"/>
          <w:color w:val="000000" w:themeColor="text1"/>
          <w:szCs w:val="24"/>
        </w:rPr>
        <w:t>Tipos de modelos de negocio clave que, cuando se adoptan como parte de un enfoque sistemático, pueden ofrecer un modo de operación más circular y sostenible.</w:t>
      </w:r>
    </w:p>
    <w:p w14:paraId="0B6D6122" w14:textId="77777777" w:rsidR="00852CD6" w:rsidRPr="00AB1C80" w:rsidRDefault="00852CD6" w:rsidP="00AB1C80">
      <w:pPr>
        <w:spacing w:line="276" w:lineRule="auto"/>
        <w:rPr>
          <w:rFonts w:cs="Arial"/>
          <w:color w:val="000000" w:themeColor="text1"/>
          <w:szCs w:val="24"/>
        </w:rPr>
      </w:pPr>
    </w:p>
    <w:p w14:paraId="5170E3F5" w14:textId="3BA3868B" w:rsidR="00405D90" w:rsidRPr="00AB1C80" w:rsidRDefault="00405D90" w:rsidP="00AB1C80">
      <w:pPr>
        <w:spacing w:line="276" w:lineRule="auto"/>
        <w:rPr>
          <w:rFonts w:cs="Arial"/>
          <w:color w:val="000000" w:themeColor="text1"/>
          <w:szCs w:val="24"/>
        </w:rPr>
      </w:pPr>
      <w:r w:rsidRPr="00AB1C80">
        <w:rPr>
          <w:rFonts w:cs="Arial"/>
          <w:color w:val="000000" w:themeColor="text1"/>
          <w:szCs w:val="24"/>
        </w:rPr>
        <w:t>Así mismo, la guía distingue entre modelos de negocio y mecanismos facilitadores. Cuando se apoya en los principios de la economía circular, un mecanismo o los mecanismos facilitadores pueden ayudar a una organización a entregar y capturar valor, junto con una gestión más sostenible de los recursos, p.e los mecanismos de financiación pueden contribuir a la entrega de propuestas de valor.</w:t>
      </w:r>
    </w:p>
    <w:p w14:paraId="435B844C" w14:textId="1D823E19" w:rsidR="00EF04A1" w:rsidRPr="00AB1C80" w:rsidRDefault="00EF04A1" w:rsidP="00AB1C80">
      <w:pPr>
        <w:spacing w:line="276" w:lineRule="auto"/>
        <w:rPr>
          <w:rFonts w:cs="Arial"/>
          <w:color w:val="000000" w:themeColor="text1"/>
          <w:szCs w:val="24"/>
        </w:rPr>
      </w:pPr>
    </w:p>
    <w:p w14:paraId="28950AB1" w14:textId="761B436D" w:rsidR="00F45A8A" w:rsidRPr="00AB1C80" w:rsidRDefault="00F45A8A" w:rsidP="00AB1C80">
      <w:pPr>
        <w:spacing w:line="276" w:lineRule="auto"/>
        <w:rPr>
          <w:rFonts w:cs="Arial"/>
          <w:color w:val="000000" w:themeColor="text1"/>
          <w:szCs w:val="24"/>
        </w:rPr>
      </w:pPr>
      <w:r w:rsidRPr="00AB1C80">
        <w:rPr>
          <w:rFonts w:cs="Arial"/>
          <w:color w:val="000000" w:themeColor="text1"/>
          <w:szCs w:val="24"/>
        </w:rPr>
        <w:t>La transición de una organización hacia un modo de operación más circular y sostenible ya sea en una prueba piloto focalizada o en una escala mucho más amplia, puede ser compleja, especialmente dentro de la economía existente, predominantemente lineal. Sin embargo, hay muchos factores que pueden permitir o impedir que una organización cumpla sus objetivos de economía circular.</w:t>
      </w:r>
    </w:p>
    <w:p w14:paraId="0EF69401" w14:textId="249890F4" w:rsidR="00F45A8A" w:rsidRPr="00AB1C80" w:rsidRDefault="00F45A8A" w:rsidP="00AB1C80">
      <w:pPr>
        <w:spacing w:line="276" w:lineRule="auto"/>
        <w:rPr>
          <w:rFonts w:cs="Arial"/>
          <w:color w:val="000000" w:themeColor="text1"/>
          <w:szCs w:val="24"/>
        </w:rPr>
      </w:pPr>
    </w:p>
    <w:p w14:paraId="0BFDA906" w14:textId="68CEFA05" w:rsidR="00F45A8A" w:rsidRPr="00AB1C80" w:rsidRDefault="00F45A8A" w:rsidP="00AB1C80">
      <w:pPr>
        <w:spacing w:line="276" w:lineRule="auto"/>
        <w:rPr>
          <w:rFonts w:cs="Arial"/>
          <w:color w:val="000000" w:themeColor="text1"/>
          <w:szCs w:val="24"/>
        </w:rPr>
      </w:pPr>
      <w:r w:rsidRPr="00AB1C80">
        <w:rPr>
          <w:rFonts w:cs="Arial"/>
          <w:color w:val="000000" w:themeColor="text1"/>
          <w:szCs w:val="24"/>
        </w:rPr>
        <w:t xml:space="preserve">Por lo </w:t>
      </w:r>
      <w:r w:rsidR="00A84705" w:rsidRPr="00AB1C80">
        <w:rPr>
          <w:rFonts w:cs="Arial"/>
          <w:color w:val="000000" w:themeColor="text1"/>
          <w:szCs w:val="24"/>
        </w:rPr>
        <w:t>tanto,</w:t>
      </w:r>
      <w:r w:rsidRPr="00AB1C80">
        <w:rPr>
          <w:rFonts w:cs="Arial"/>
          <w:color w:val="000000" w:themeColor="text1"/>
          <w:szCs w:val="24"/>
        </w:rPr>
        <w:t xml:space="preserve"> las siguientes áreas temáticas generales pueden ayudar a las organizaciones a identificar esos impedimentos tanto las de riesgos como de </w:t>
      </w:r>
      <w:r w:rsidRPr="00AB1C80">
        <w:rPr>
          <w:rFonts w:cs="Arial"/>
          <w:color w:val="000000" w:themeColor="text1"/>
          <w:szCs w:val="24"/>
        </w:rPr>
        <w:lastRenderedPageBreak/>
        <w:t>oportunidades que podrían afectar la consecución de sus objetivos de economía circular a partir de un grupo básico de cuestiones y consideraciones adicionales que las organizaciones podrían experimentar:</w:t>
      </w:r>
    </w:p>
    <w:p w14:paraId="01CFC635" w14:textId="1AF3846C" w:rsidR="00F45A8A" w:rsidRPr="00AB1C80" w:rsidRDefault="00F45A8A" w:rsidP="00AB1C80">
      <w:pPr>
        <w:spacing w:line="276" w:lineRule="auto"/>
        <w:rPr>
          <w:rFonts w:cs="Arial"/>
          <w:color w:val="000000" w:themeColor="text1"/>
          <w:szCs w:val="24"/>
        </w:rPr>
      </w:pPr>
    </w:p>
    <w:p w14:paraId="05710A87" w14:textId="7635E0CA" w:rsidR="00F45A8A" w:rsidRPr="00AB1C80" w:rsidRDefault="00F45A8A" w:rsidP="00AB1C80">
      <w:pPr>
        <w:pStyle w:val="Prrafodelista"/>
        <w:numPr>
          <w:ilvl w:val="0"/>
          <w:numId w:val="15"/>
        </w:numPr>
        <w:spacing w:line="276" w:lineRule="auto"/>
        <w:rPr>
          <w:rFonts w:cs="Arial"/>
          <w:b/>
          <w:color w:val="000000" w:themeColor="text1"/>
          <w:szCs w:val="24"/>
        </w:rPr>
      </w:pPr>
      <w:r w:rsidRPr="00AB1C80">
        <w:rPr>
          <w:rFonts w:cs="Arial"/>
          <w:b/>
          <w:color w:val="000000" w:themeColor="text1"/>
          <w:szCs w:val="24"/>
        </w:rPr>
        <w:t xml:space="preserve">Económica: </w:t>
      </w:r>
      <w:r w:rsidRPr="00AB1C80">
        <w:rPr>
          <w:rFonts w:cs="Arial"/>
          <w:color w:val="000000" w:themeColor="text1"/>
          <w:szCs w:val="24"/>
        </w:rPr>
        <w:t>los sistemas económicos existentes no siempre están bien diseñados para permitir enfoques más circulares para hacer negocios, desde la forma en que funcionan los seguros y los impuestos, pasando por los enfoques de contabilidad empresarial, la fijación de precios de los daños ambientales, los criterios para el rendimiento de las inversiones, hasta la forma en que las organizaciones reconocen y comunican los beneficios.</w:t>
      </w:r>
    </w:p>
    <w:p w14:paraId="10963F0D" w14:textId="77777777" w:rsidR="00F45A8A" w:rsidRPr="00AB1C80" w:rsidRDefault="00F45A8A" w:rsidP="00AB1C80">
      <w:pPr>
        <w:pStyle w:val="Prrafodelista"/>
        <w:spacing w:line="276" w:lineRule="auto"/>
        <w:rPr>
          <w:rFonts w:cs="Arial"/>
          <w:b/>
          <w:color w:val="000000" w:themeColor="text1"/>
          <w:szCs w:val="24"/>
        </w:rPr>
      </w:pPr>
    </w:p>
    <w:p w14:paraId="41575B7E" w14:textId="199AB5A6" w:rsidR="00F45A8A" w:rsidRPr="00AB1C80" w:rsidRDefault="00F45A8A" w:rsidP="00AB1C80">
      <w:pPr>
        <w:pStyle w:val="Prrafodelista"/>
        <w:numPr>
          <w:ilvl w:val="0"/>
          <w:numId w:val="15"/>
        </w:numPr>
        <w:spacing w:line="276" w:lineRule="auto"/>
        <w:rPr>
          <w:rFonts w:cs="Arial"/>
          <w:b/>
          <w:color w:val="000000" w:themeColor="text1"/>
          <w:szCs w:val="24"/>
        </w:rPr>
      </w:pPr>
      <w:r w:rsidRPr="00AB1C80">
        <w:rPr>
          <w:rFonts w:cs="Arial"/>
          <w:b/>
          <w:color w:val="000000" w:themeColor="text1"/>
          <w:szCs w:val="24"/>
        </w:rPr>
        <w:t xml:space="preserve">Técnica: </w:t>
      </w:r>
      <w:r w:rsidRPr="00AB1C80">
        <w:rPr>
          <w:rFonts w:cs="Arial"/>
          <w:color w:val="000000" w:themeColor="text1"/>
          <w:szCs w:val="24"/>
        </w:rPr>
        <w:t>las iniciativas de circularidad a menudo pueden implicar el rediseño de productos y servicios, la aplicación/adopción de nuevas tecnologías, el uso de materiales alternativos/reúso de materiales existentes y los consiguientes impactos que estos cambios tienen en sistemas más amplios.</w:t>
      </w:r>
    </w:p>
    <w:p w14:paraId="0FAD7964" w14:textId="77777777" w:rsidR="00F45A8A" w:rsidRPr="00AB1C80" w:rsidRDefault="00F45A8A" w:rsidP="00AB1C80">
      <w:pPr>
        <w:spacing w:line="276" w:lineRule="auto"/>
        <w:rPr>
          <w:rFonts w:cs="Arial"/>
          <w:b/>
          <w:color w:val="000000" w:themeColor="text1"/>
          <w:szCs w:val="24"/>
        </w:rPr>
      </w:pPr>
    </w:p>
    <w:p w14:paraId="4447600B" w14:textId="6BA7ACB3" w:rsidR="00F45A8A" w:rsidRPr="00AB1C80" w:rsidRDefault="00F45A8A" w:rsidP="00AB1C80">
      <w:pPr>
        <w:pStyle w:val="Prrafodelista"/>
        <w:numPr>
          <w:ilvl w:val="0"/>
          <w:numId w:val="15"/>
        </w:numPr>
        <w:spacing w:line="276" w:lineRule="auto"/>
        <w:rPr>
          <w:rFonts w:cs="Arial"/>
          <w:b/>
          <w:color w:val="000000" w:themeColor="text1"/>
          <w:szCs w:val="24"/>
        </w:rPr>
      </w:pPr>
      <w:r w:rsidRPr="00AB1C80">
        <w:rPr>
          <w:rFonts w:cs="Arial"/>
          <w:b/>
          <w:color w:val="000000" w:themeColor="text1"/>
          <w:szCs w:val="24"/>
        </w:rPr>
        <w:t xml:space="preserve">Política y Reglamentación: </w:t>
      </w:r>
      <w:r w:rsidRPr="00AB1C80">
        <w:rPr>
          <w:rFonts w:cs="Arial"/>
          <w:color w:val="000000" w:themeColor="text1"/>
          <w:szCs w:val="24"/>
        </w:rPr>
        <w:t xml:space="preserve">en general, la reglamentación existente se ha desarrollado y desplegado en el contexto de una economía lineal. Como tal, las normas (por ejemplo, la forma en que se gestionan los artículos desechados, la manera en que colaboran las organizaciones o la forma en que se financian las empresas) no siempre apoyan la economía circular. </w:t>
      </w:r>
    </w:p>
    <w:p w14:paraId="7919DA14" w14:textId="77777777" w:rsidR="00F45A8A" w:rsidRPr="00AB1C80" w:rsidRDefault="00F45A8A" w:rsidP="00AB1C80">
      <w:pPr>
        <w:spacing w:line="276" w:lineRule="auto"/>
        <w:rPr>
          <w:rFonts w:cs="Arial"/>
          <w:b/>
          <w:color w:val="000000" w:themeColor="text1"/>
          <w:szCs w:val="24"/>
        </w:rPr>
      </w:pPr>
    </w:p>
    <w:p w14:paraId="60CA454B" w14:textId="37A77C8C" w:rsidR="00F45A8A" w:rsidRPr="00AB1C80" w:rsidRDefault="00F45A8A" w:rsidP="00AB1C80">
      <w:pPr>
        <w:pStyle w:val="Prrafodelista"/>
        <w:numPr>
          <w:ilvl w:val="0"/>
          <w:numId w:val="15"/>
        </w:numPr>
        <w:spacing w:line="276" w:lineRule="auto"/>
        <w:rPr>
          <w:rFonts w:cs="Arial"/>
          <w:b/>
          <w:color w:val="000000" w:themeColor="text1"/>
          <w:szCs w:val="24"/>
        </w:rPr>
      </w:pPr>
      <w:r w:rsidRPr="00AB1C80">
        <w:rPr>
          <w:rFonts w:cs="Arial"/>
          <w:b/>
          <w:color w:val="000000" w:themeColor="text1"/>
          <w:szCs w:val="24"/>
        </w:rPr>
        <w:t xml:space="preserve">Comportamental: </w:t>
      </w:r>
      <w:r w:rsidRPr="00AB1C80">
        <w:rPr>
          <w:rFonts w:cs="Arial"/>
          <w:color w:val="000000" w:themeColor="text1"/>
          <w:szCs w:val="24"/>
        </w:rPr>
        <w:t>el cambio de cultura es difícil dentro de una organización, y mucho menos en su cadena de valor, en su sector o en la sociedad en general. La cultura organizacional imperante podría no ser particularmente favorable a la adopción de un enfoque más circular de los negocios.</w:t>
      </w:r>
    </w:p>
    <w:p w14:paraId="2F61E618" w14:textId="77777777" w:rsidR="00F45A8A" w:rsidRPr="00AB1C80" w:rsidRDefault="00F45A8A" w:rsidP="00AB1C80">
      <w:pPr>
        <w:pStyle w:val="Prrafodelista"/>
        <w:spacing w:line="276" w:lineRule="auto"/>
        <w:rPr>
          <w:rFonts w:cs="Arial"/>
          <w:b/>
          <w:color w:val="000000" w:themeColor="text1"/>
          <w:szCs w:val="24"/>
        </w:rPr>
      </w:pPr>
    </w:p>
    <w:p w14:paraId="4369B5B6" w14:textId="0D15D650" w:rsidR="00F45A8A" w:rsidRPr="00AB1C80" w:rsidRDefault="00F45A8A" w:rsidP="00AB1C80">
      <w:pPr>
        <w:pStyle w:val="Prrafodelista"/>
        <w:numPr>
          <w:ilvl w:val="0"/>
          <w:numId w:val="15"/>
        </w:numPr>
        <w:spacing w:line="276" w:lineRule="auto"/>
        <w:rPr>
          <w:rFonts w:cs="Arial"/>
          <w:b/>
          <w:color w:val="000000" w:themeColor="text1"/>
          <w:szCs w:val="24"/>
        </w:rPr>
      </w:pPr>
      <w:r w:rsidRPr="00AB1C80">
        <w:rPr>
          <w:rFonts w:cs="Arial"/>
          <w:b/>
          <w:color w:val="000000" w:themeColor="text1"/>
          <w:szCs w:val="24"/>
        </w:rPr>
        <w:t xml:space="preserve">Organizacional: </w:t>
      </w:r>
      <w:r w:rsidRPr="00AB1C80">
        <w:rPr>
          <w:rFonts w:cs="Arial"/>
          <w:color w:val="000000" w:themeColor="text1"/>
          <w:szCs w:val="24"/>
        </w:rPr>
        <w:t>los acuerdos de gestión y gobernanza que existen dentro de las organizaciones y entre ellas, también pueden permitir o impedir la transición a un modo de operación más circular y sostenible.</w:t>
      </w:r>
    </w:p>
    <w:p w14:paraId="366DB1C5" w14:textId="77777777" w:rsidR="00912F86" w:rsidRPr="00AB1C80" w:rsidRDefault="00912F86" w:rsidP="00AB1C80">
      <w:pPr>
        <w:spacing w:line="276" w:lineRule="auto"/>
        <w:rPr>
          <w:rFonts w:cs="Arial"/>
          <w:color w:val="000000" w:themeColor="text1"/>
          <w:szCs w:val="24"/>
        </w:rPr>
      </w:pPr>
    </w:p>
    <w:p w14:paraId="2EE4C8E8" w14:textId="60FB4331" w:rsidR="00F45A8A" w:rsidRPr="00AB1C80" w:rsidRDefault="00F45A8A" w:rsidP="00AB1C80">
      <w:pPr>
        <w:spacing w:line="276" w:lineRule="auto"/>
        <w:rPr>
          <w:rFonts w:cs="Arial"/>
          <w:color w:val="000000" w:themeColor="text1"/>
          <w:szCs w:val="24"/>
        </w:rPr>
      </w:pPr>
      <w:r w:rsidRPr="00AB1C80">
        <w:rPr>
          <w:rFonts w:cs="Arial"/>
          <w:color w:val="000000" w:themeColor="text1"/>
          <w:szCs w:val="24"/>
        </w:rPr>
        <w:t xml:space="preserve">Principalmente la </w:t>
      </w:r>
      <w:r w:rsidR="002B2157" w:rsidRPr="00AB1C80">
        <w:rPr>
          <w:rFonts w:cs="Arial"/>
          <w:i/>
          <w:iCs/>
          <w:color w:val="000000" w:themeColor="text1"/>
          <w:szCs w:val="24"/>
        </w:rPr>
        <w:t xml:space="preserve">GTC 314 – 2020 </w:t>
      </w:r>
      <w:r w:rsidRPr="00AB1C80">
        <w:rPr>
          <w:rFonts w:cs="Arial"/>
          <w:color w:val="000000" w:themeColor="text1"/>
          <w:szCs w:val="24"/>
        </w:rPr>
        <w:t xml:space="preserve">establece la línea base para la toma de decisiones acerca de la implementación y ejecución del nuevo modelo de economía circular en las organizaciones, a partir de iniciativas desarrolladas, estrategias y/o directrices que llevan a orientar las mismas de todo tipo y tamaño, a nivel global los pasos que pueden emprender para pasar a un modo de operación más circular y sostenible. </w:t>
      </w:r>
    </w:p>
    <w:p w14:paraId="3EDA1D98" w14:textId="77777777" w:rsidR="00912F86" w:rsidRPr="00AB1C80" w:rsidRDefault="00912F86" w:rsidP="00AB1C80">
      <w:pPr>
        <w:spacing w:line="276" w:lineRule="auto"/>
        <w:rPr>
          <w:rFonts w:cs="Arial"/>
          <w:color w:val="000000" w:themeColor="text1"/>
          <w:szCs w:val="24"/>
        </w:rPr>
      </w:pPr>
    </w:p>
    <w:p w14:paraId="21F2C8A6" w14:textId="21AB65A6" w:rsidR="000651C3" w:rsidRPr="00AB1C80" w:rsidRDefault="009335A8" w:rsidP="00AB1C80">
      <w:pPr>
        <w:autoSpaceDE w:val="0"/>
        <w:autoSpaceDN w:val="0"/>
        <w:adjustRightInd w:val="0"/>
        <w:spacing w:line="276" w:lineRule="auto"/>
        <w:rPr>
          <w:rFonts w:cs="Arial"/>
          <w:color w:val="000000" w:themeColor="text1"/>
          <w:szCs w:val="24"/>
        </w:rPr>
      </w:pPr>
      <w:r w:rsidRPr="00AB1C80">
        <w:rPr>
          <w:rFonts w:cs="Arial"/>
          <w:color w:val="000000" w:themeColor="text1"/>
          <w:szCs w:val="24"/>
        </w:rPr>
        <w:lastRenderedPageBreak/>
        <w:t>Finalmente d</w:t>
      </w:r>
      <w:r w:rsidR="0041533C" w:rsidRPr="00AB1C80">
        <w:rPr>
          <w:rFonts w:cs="Arial"/>
          <w:color w:val="000000" w:themeColor="text1"/>
        </w:rPr>
        <w:t xml:space="preserve">esde una mirada </w:t>
      </w:r>
      <w:r w:rsidR="00323614" w:rsidRPr="00AB1C80">
        <w:rPr>
          <w:rFonts w:cs="Arial"/>
          <w:color w:val="000000" w:themeColor="text1"/>
        </w:rPr>
        <w:t>específica para el sector minero colombiano</w:t>
      </w:r>
      <w:r w:rsidR="0041533C" w:rsidRPr="00AB1C80">
        <w:rPr>
          <w:rFonts w:cs="Arial"/>
          <w:color w:val="000000" w:themeColor="text1"/>
        </w:rPr>
        <w:t>,</w:t>
      </w:r>
      <w:r w:rsidR="000651C3" w:rsidRPr="00AB1C80">
        <w:rPr>
          <w:rFonts w:cs="Arial"/>
          <w:color w:val="000000" w:themeColor="text1"/>
        </w:rPr>
        <w:t xml:space="preserve"> se presenta </w:t>
      </w:r>
      <w:r w:rsidR="0041533C" w:rsidRPr="00AB1C80">
        <w:rPr>
          <w:rFonts w:cs="Arial"/>
          <w:color w:val="000000" w:themeColor="text1"/>
        </w:rPr>
        <w:t xml:space="preserve">el </w:t>
      </w:r>
      <w:r w:rsidR="00594157" w:rsidRPr="00AB1C80">
        <w:rPr>
          <w:rFonts w:cs="Arial"/>
          <w:i/>
          <w:iCs/>
          <w:color w:val="000000" w:themeColor="text1"/>
        </w:rPr>
        <w:t>I</w:t>
      </w:r>
      <w:r w:rsidR="0041533C" w:rsidRPr="00AB1C80">
        <w:rPr>
          <w:rFonts w:cs="Arial"/>
          <w:i/>
          <w:iCs/>
          <w:color w:val="000000" w:themeColor="text1"/>
        </w:rPr>
        <w:t xml:space="preserve">nforme </w:t>
      </w:r>
      <w:r w:rsidR="00594157" w:rsidRPr="00AB1C80">
        <w:rPr>
          <w:rFonts w:cs="Arial"/>
          <w:i/>
          <w:iCs/>
          <w:color w:val="000000" w:themeColor="text1"/>
        </w:rPr>
        <w:t xml:space="preserve">Economía Circular en el Sector Minero Colombiano </w:t>
      </w:r>
      <w:r w:rsidR="0041533C" w:rsidRPr="00AB1C80">
        <w:rPr>
          <w:rFonts w:cs="Arial"/>
          <w:i/>
          <w:iCs/>
          <w:color w:val="000000" w:themeColor="text1"/>
        </w:rPr>
        <w:t>“Una oportunidad para la productividad de la minería”</w:t>
      </w:r>
      <w:r w:rsidR="0041533C" w:rsidRPr="00AB1C80">
        <w:rPr>
          <w:rFonts w:cs="Arial"/>
          <w:color w:val="000000" w:themeColor="text1"/>
        </w:rPr>
        <w:t xml:space="preserve"> realizado por </w:t>
      </w:r>
      <w:r w:rsidR="00594157" w:rsidRPr="00AB1C80">
        <w:rPr>
          <w:rFonts w:cs="Arial"/>
          <w:color w:val="000000" w:themeColor="text1"/>
        </w:rPr>
        <w:t xml:space="preserve">la </w:t>
      </w:r>
      <w:r w:rsidR="00594157" w:rsidRPr="00AB1C80">
        <w:rPr>
          <w:rFonts w:cs="Arial"/>
          <w:color w:val="000000" w:themeColor="text1"/>
          <w:u w:val="single"/>
        </w:rPr>
        <w:t>Dirección de Minería Empresarial d</w:t>
      </w:r>
      <w:r w:rsidR="0041533C" w:rsidRPr="00AB1C80">
        <w:rPr>
          <w:rFonts w:cs="Arial"/>
          <w:color w:val="000000" w:themeColor="text1"/>
          <w:u w:val="single"/>
        </w:rPr>
        <w:t>el Ministerio de Minas</w:t>
      </w:r>
      <w:r w:rsidR="00594157" w:rsidRPr="00AB1C80">
        <w:rPr>
          <w:rFonts w:cs="Arial"/>
          <w:color w:val="000000" w:themeColor="text1"/>
          <w:u w:val="single"/>
        </w:rPr>
        <w:t xml:space="preserve"> y Energía</w:t>
      </w:r>
      <w:r w:rsidR="0041533C" w:rsidRPr="00AB1C80">
        <w:rPr>
          <w:rFonts w:cs="Arial"/>
          <w:color w:val="000000" w:themeColor="text1"/>
        </w:rPr>
        <w:t xml:space="preserve"> en el 2021, </w:t>
      </w:r>
      <w:r w:rsidR="000F057F" w:rsidRPr="00AB1C80">
        <w:rPr>
          <w:rFonts w:cs="Arial"/>
          <w:color w:val="000000" w:themeColor="text1"/>
        </w:rPr>
        <w:t xml:space="preserve">el cual </w:t>
      </w:r>
      <w:r w:rsidR="000F057F" w:rsidRPr="00AB1C80">
        <w:rPr>
          <w:rFonts w:cs="Arial"/>
          <w:color w:val="000000" w:themeColor="text1"/>
          <w:szCs w:val="24"/>
        </w:rPr>
        <w:t xml:space="preserve">surge por la necesidad de indagar el estado actual de la economía circular en el sector minero en Colombia, enfocado a revisar su implementación, planes, alternativas y beneficios para esta economía, debido a que gracias a la optimización y rendimientos en los ciclos de producción se puede innovar en nuevos productos y expandirse hacia nuevos mercados. </w:t>
      </w:r>
      <w:r w:rsidR="000651C3" w:rsidRPr="00AB1C80">
        <w:rPr>
          <w:rFonts w:cs="Arial"/>
          <w:color w:val="000000" w:themeColor="text1"/>
          <w:szCs w:val="24"/>
        </w:rPr>
        <w:t>El objetivo general del estudio es la identificación de las principales brechas normativas, tecnológicas, operativas, económicas, que existen para implementar la Economía Circular en el sector minero colombiano, definiendo acciones prácticas con el fin de alcanzar su desarrollo exitoso.</w:t>
      </w:r>
    </w:p>
    <w:p w14:paraId="6FD9CAD5" w14:textId="1E280874" w:rsidR="000F057F" w:rsidRPr="00AB1C80" w:rsidRDefault="000F057F" w:rsidP="00AB1C80">
      <w:pPr>
        <w:spacing w:line="276" w:lineRule="auto"/>
        <w:rPr>
          <w:rFonts w:cs="Arial"/>
          <w:color w:val="000000" w:themeColor="text1"/>
          <w:szCs w:val="24"/>
        </w:rPr>
      </w:pPr>
    </w:p>
    <w:p w14:paraId="00D90124" w14:textId="1F14A354" w:rsidR="00DC68EA" w:rsidRPr="00AB1C80" w:rsidRDefault="00DC68EA" w:rsidP="00AB1C80">
      <w:pPr>
        <w:spacing w:line="276" w:lineRule="auto"/>
        <w:rPr>
          <w:rFonts w:cs="Arial"/>
          <w:color w:val="000000" w:themeColor="text1"/>
          <w:szCs w:val="24"/>
        </w:rPr>
      </w:pPr>
      <w:r w:rsidRPr="00AB1C80">
        <w:rPr>
          <w:rFonts w:cs="Arial"/>
          <w:color w:val="000000" w:themeColor="text1"/>
          <w:szCs w:val="24"/>
        </w:rPr>
        <w:t xml:space="preserve">El informe permite establecer claramente los retos y oportunidades para la implementación de modelos de economía circular en el sector minero colombiano, teniendo en cuenta la importancia de maximizar la producción y utilidad de los recursos extraídos. Se identifica que no hay motivación suficiente en las empresas mineras, debido entre otros a la falta de conocimiento teórico de economía circular, evidenciando la necesidad por parte de las autoridades mineras de informar los beneficios, ventajas y oportunidades para incentivar su implementación. </w:t>
      </w:r>
    </w:p>
    <w:p w14:paraId="75CA89E8" w14:textId="7619728D" w:rsidR="00DC68EA" w:rsidRPr="00AB1C80" w:rsidRDefault="00DC68EA" w:rsidP="00AB1C80">
      <w:pPr>
        <w:spacing w:line="276" w:lineRule="auto"/>
        <w:rPr>
          <w:rFonts w:cs="Arial"/>
          <w:color w:val="000000" w:themeColor="text1"/>
          <w:szCs w:val="24"/>
        </w:rPr>
      </w:pPr>
    </w:p>
    <w:p w14:paraId="494C935E" w14:textId="739573A6" w:rsidR="00DC68EA" w:rsidRPr="00AB1C80" w:rsidRDefault="000C6083" w:rsidP="00AB1C80">
      <w:pPr>
        <w:spacing w:line="276" w:lineRule="auto"/>
        <w:rPr>
          <w:rFonts w:cs="Arial"/>
          <w:color w:val="000000" w:themeColor="text1"/>
          <w:szCs w:val="24"/>
        </w:rPr>
      </w:pPr>
      <w:r w:rsidRPr="00AB1C80">
        <w:rPr>
          <w:rFonts w:cs="Arial"/>
          <w:color w:val="000000" w:themeColor="text1"/>
          <w:szCs w:val="24"/>
        </w:rPr>
        <w:t>El informe establece de manera muy acertada que c</w:t>
      </w:r>
      <w:r w:rsidR="00DC68EA" w:rsidRPr="00AB1C80">
        <w:rPr>
          <w:rFonts w:cs="Arial"/>
          <w:color w:val="000000" w:themeColor="text1"/>
          <w:szCs w:val="24"/>
        </w:rPr>
        <w:t>ualquier modelo de economía circular debe tener en cuenta un enfoque integrador que contemple el ámbito social, aspectos geológicos, ambientales, ecológicos, geo metalúrgicos, económicos, legales, entre otros</w:t>
      </w:r>
      <w:r w:rsidRPr="00AB1C80">
        <w:rPr>
          <w:rFonts w:cs="Arial"/>
          <w:color w:val="000000" w:themeColor="text1"/>
          <w:szCs w:val="24"/>
        </w:rPr>
        <w:t>, así mismo concluye que en los proyectos mineros para la implementación de los modelos de economía circular</w:t>
      </w:r>
      <w:r w:rsidR="00E23A75" w:rsidRPr="00AB1C80">
        <w:rPr>
          <w:rFonts w:cs="Arial"/>
          <w:color w:val="000000" w:themeColor="text1"/>
          <w:szCs w:val="24"/>
        </w:rPr>
        <w:t xml:space="preserve"> </w:t>
      </w:r>
      <w:r w:rsidRPr="00AB1C80">
        <w:rPr>
          <w:rFonts w:cs="Arial"/>
          <w:color w:val="000000" w:themeColor="text1"/>
          <w:szCs w:val="24"/>
        </w:rPr>
        <w:t xml:space="preserve">se debe realizar una adecuada caracterización de residuos, la cual permitirá conocer los contenidos de metales o minerales que son depositados en los relaves o en depósitos de estériles, </w:t>
      </w:r>
      <w:r w:rsidR="00E23A75" w:rsidRPr="00AB1C80">
        <w:rPr>
          <w:rFonts w:cs="Arial"/>
          <w:color w:val="000000" w:themeColor="text1"/>
          <w:szCs w:val="24"/>
        </w:rPr>
        <w:t>así como</w:t>
      </w:r>
      <w:r w:rsidRPr="00AB1C80">
        <w:rPr>
          <w:rFonts w:cs="Arial"/>
          <w:color w:val="000000" w:themeColor="text1"/>
          <w:szCs w:val="24"/>
        </w:rPr>
        <w:t xml:space="preserve"> valorizar y determinar el grado de aprovechamiento que puede tener en mercados futuros. </w:t>
      </w:r>
    </w:p>
    <w:p w14:paraId="628D0ABD" w14:textId="77777777" w:rsidR="00DE2BF8" w:rsidRPr="00AB1C80" w:rsidRDefault="00DE2BF8" w:rsidP="00AB1C80">
      <w:pPr>
        <w:spacing w:line="276" w:lineRule="auto"/>
        <w:rPr>
          <w:rFonts w:cs="Arial"/>
          <w:color w:val="000000" w:themeColor="text1"/>
        </w:rPr>
      </w:pPr>
    </w:p>
    <w:p w14:paraId="57E1EABF" w14:textId="77777777" w:rsidR="00DE2BF8" w:rsidRPr="00AB1C80" w:rsidRDefault="00DE2BF8" w:rsidP="00AB1C80">
      <w:pPr>
        <w:pStyle w:val="Ttulo4"/>
        <w:spacing w:line="276" w:lineRule="auto"/>
        <w:rPr>
          <w:rFonts w:ascii="Arial" w:hAnsi="Arial"/>
        </w:rPr>
      </w:pPr>
      <w:bookmarkStart w:id="104" w:name="_Toc86332933"/>
      <w:r w:rsidRPr="00AB1C80">
        <w:rPr>
          <w:rFonts w:ascii="Arial" w:hAnsi="Arial"/>
        </w:rPr>
        <w:t>Marco normativo</w:t>
      </w:r>
      <w:bookmarkEnd w:id="104"/>
    </w:p>
    <w:p w14:paraId="10F7856B" w14:textId="77777777" w:rsidR="00DE2BF8" w:rsidRPr="00AB1C80" w:rsidRDefault="00DE2BF8" w:rsidP="00AB1C80">
      <w:pPr>
        <w:spacing w:line="276" w:lineRule="auto"/>
        <w:rPr>
          <w:rFonts w:cs="Arial"/>
          <w:color w:val="000000" w:themeColor="text1"/>
        </w:rPr>
      </w:pPr>
    </w:p>
    <w:p w14:paraId="6D1FC93B" w14:textId="77777777" w:rsidR="00985A00" w:rsidRPr="00AB1C80" w:rsidRDefault="00985A00" w:rsidP="00AB1C80">
      <w:pPr>
        <w:spacing w:line="276" w:lineRule="auto"/>
        <w:rPr>
          <w:rFonts w:cs="Arial"/>
          <w:color w:val="000000" w:themeColor="text1"/>
          <w:szCs w:val="24"/>
        </w:rPr>
      </w:pPr>
      <w:r w:rsidRPr="00AB1C80">
        <w:rPr>
          <w:rFonts w:cs="Arial"/>
          <w:color w:val="000000" w:themeColor="text1"/>
          <w:szCs w:val="24"/>
        </w:rPr>
        <w:t xml:space="preserve">Actualmente Colombia no cuenta con una regulación específica respecto a la normalización de los procesos relacionados con economía circular en la actividad minera, pero si se regulan aspectos relacionados a los objetivos de esta materia, permitiendo que se puedan reglamentar algunos aspectos sobre la promoción de la economía circular en la minería, articulando las normas hasta ahora expedidas para </w:t>
      </w:r>
      <w:r w:rsidRPr="00AB1C80">
        <w:rPr>
          <w:rFonts w:cs="Arial"/>
          <w:color w:val="000000" w:themeColor="text1"/>
          <w:szCs w:val="24"/>
        </w:rPr>
        <w:lastRenderedPageBreak/>
        <w:t xml:space="preserve">otras industrias como también la reglamentación actual en materia ambiental, que facilita el complemento normativo. Por lo anterior es fundamental establecer un punto de partida a través de lineamientos que se adapten a las características del sector minero, contemplando un enfoque técnico, ambiental y sostenible, basado en buenas prácticas, experiencias y mejores técnicas realizadas a nivel nacional. </w:t>
      </w:r>
    </w:p>
    <w:p w14:paraId="5064869E" w14:textId="06CB0661" w:rsidR="00094F0C" w:rsidRPr="00AB1C80" w:rsidRDefault="00094F0C" w:rsidP="00AB1C80">
      <w:pPr>
        <w:spacing w:line="276" w:lineRule="auto"/>
        <w:rPr>
          <w:rFonts w:cs="Arial"/>
          <w:color w:val="000000" w:themeColor="text1"/>
          <w:szCs w:val="24"/>
        </w:rPr>
      </w:pPr>
    </w:p>
    <w:p w14:paraId="2F5DDC17" w14:textId="2DE5E2A0" w:rsidR="00AA63C7" w:rsidRPr="00AB1C80" w:rsidRDefault="00AA63C7" w:rsidP="00AB1C80">
      <w:pPr>
        <w:spacing w:line="276" w:lineRule="auto"/>
        <w:rPr>
          <w:rFonts w:cs="Arial"/>
          <w:color w:val="000000" w:themeColor="text1"/>
          <w:szCs w:val="24"/>
        </w:rPr>
      </w:pPr>
      <w:r w:rsidRPr="00AB1C80">
        <w:rPr>
          <w:rFonts w:cs="Arial"/>
          <w:color w:val="000000" w:themeColor="text1"/>
          <w:szCs w:val="24"/>
        </w:rPr>
        <w:t xml:space="preserve">Dando cumplimiento a la </w:t>
      </w:r>
      <w:r w:rsidRPr="00AB1C80">
        <w:rPr>
          <w:rFonts w:cs="Arial"/>
          <w:b/>
          <w:bCs/>
          <w:color w:val="000000" w:themeColor="text1"/>
          <w:szCs w:val="24"/>
        </w:rPr>
        <w:t>Ley 685 de 2001</w:t>
      </w:r>
      <w:r w:rsidRPr="00AB1C80">
        <w:rPr>
          <w:rFonts w:cs="Arial"/>
          <w:color w:val="000000" w:themeColor="text1"/>
          <w:szCs w:val="24"/>
        </w:rPr>
        <w:t xml:space="preserve"> (por la cual se expide el Código de Minas y se dictan otras disposiciones), los Ministerios de Minas y Energía y del Medio Ambiente mediante la </w:t>
      </w:r>
      <w:r w:rsidRPr="00AB1C80">
        <w:rPr>
          <w:rFonts w:cs="Arial"/>
          <w:b/>
          <w:bCs/>
          <w:color w:val="000000" w:themeColor="text1"/>
          <w:szCs w:val="24"/>
        </w:rPr>
        <w:t>Resolución 18-0861 del 20 de agosto de 2002</w:t>
      </w:r>
      <w:r w:rsidRPr="00AB1C80">
        <w:rPr>
          <w:rFonts w:cs="Arial"/>
          <w:color w:val="000000" w:themeColor="text1"/>
          <w:szCs w:val="24"/>
        </w:rPr>
        <w:t xml:space="preserve"> adoptan las Guías Minero Ambientales de Exploración, Explotación y de Beneficio y Transformación, las cuales son un instrumento de consulta obligatoria y orientación de carácter conceptual, metodológico y procedimental que enuncian aspectos a considerar, en la etapa de producción, cierre y abandono de las minas, sin abarcar de manera detallada y a profundidad las etapas del cierre de ciclos de materiales, innovación tecnológica, colaboración y nuevos modelos de negocio que respondan a los objetivos del desarrollo sostenible.</w:t>
      </w:r>
    </w:p>
    <w:p w14:paraId="6733E9EA" w14:textId="4DA1B563" w:rsidR="00AA63C7" w:rsidRPr="00AB1C80" w:rsidRDefault="00AA63C7" w:rsidP="00AB1C80">
      <w:pPr>
        <w:spacing w:line="276" w:lineRule="auto"/>
        <w:rPr>
          <w:rFonts w:cs="Arial"/>
          <w:color w:val="000000" w:themeColor="text1"/>
          <w:szCs w:val="24"/>
        </w:rPr>
      </w:pPr>
    </w:p>
    <w:p w14:paraId="42436105" w14:textId="77777777" w:rsidR="005F4506" w:rsidRPr="00AB1C80" w:rsidRDefault="005F4506" w:rsidP="00AB1C80">
      <w:pPr>
        <w:spacing w:line="276" w:lineRule="auto"/>
        <w:rPr>
          <w:rFonts w:cs="Arial"/>
          <w:color w:val="000000" w:themeColor="text1"/>
          <w:szCs w:val="24"/>
        </w:rPr>
      </w:pPr>
      <w:r w:rsidRPr="00AB1C80">
        <w:rPr>
          <w:rFonts w:cs="Arial"/>
          <w:color w:val="000000" w:themeColor="text1"/>
          <w:szCs w:val="24"/>
        </w:rPr>
        <w:t xml:space="preserve">En Colombia, las primeras iniciativas directamente relacionadas con la economía circular surgen en el año 1997, en la cual el Ministerio del Medio Ambiente (actualmente el Ministerio de Ambiente y Desarrollo Sostenible) expidió la </w:t>
      </w:r>
      <w:r w:rsidRPr="00AB1C80">
        <w:rPr>
          <w:rFonts w:cs="Arial"/>
          <w:b/>
          <w:bCs/>
          <w:color w:val="000000" w:themeColor="text1"/>
          <w:szCs w:val="24"/>
        </w:rPr>
        <w:t>Política para la Gestión Integral de Residuos Sólidos y la Política de Producción más Limpia</w:t>
      </w:r>
      <w:r w:rsidRPr="00AB1C80">
        <w:rPr>
          <w:rFonts w:cs="Arial"/>
          <w:color w:val="000000" w:themeColor="text1"/>
          <w:szCs w:val="24"/>
        </w:rPr>
        <w:t xml:space="preserve">, en el año 2000 con la expedición de la </w:t>
      </w:r>
      <w:r w:rsidRPr="00AB1C80">
        <w:rPr>
          <w:rFonts w:cs="Arial"/>
          <w:b/>
          <w:bCs/>
          <w:color w:val="000000" w:themeColor="text1"/>
          <w:szCs w:val="24"/>
        </w:rPr>
        <w:t xml:space="preserve">Política de Parques Industriales Eco-eficientes </w:t>
      </w:r>
      <w:r w:rsidRPr="00AB1C80">
        <w:rPr>
          <w:rFonts w:cs="Arial"/>
          <w:color w:val="000000" w:themeColor="text1"/>
          <w:szCs w:val="24"/>
        </w:rPr>
        <w:t xml:space="preserve">por parte de la Secretaría Distrital de Ambiente de Bogotá. En 2007 mediante la </w:t>
      </w:r>
      <w:r w:rsidRPr="00AB1C80">
        <w:rPr>
          <w:rFonts w:cs="Arial"/>
          <w:b/>
          <w:bCs/>
          <w:color w:val="000000" w:themeColor="text1"/>
          <w:szCs w:val="24"/>
        </w:rPr>
        <w:t xml:space="preserve">Resolución 1362 </w:t>
      </w:r>
      <w:r w:rsidRPr="00AB1C80">
        <w:rPr>
          <w:rFonts w:cs="Arial"/>
          <w:color w:val="000000" w:themeColor="text1"/>
          <w:szCs w:val="24"/>
        </w:rPr>
        <w:t xml:space="preserve">se desarrolló la normativa sobre la responsabilidad extendida del productor en materia de la Gestión de los Residuos Peligrosos; en el 2010 la normativa en materia de pilas, acumuladores, computadores, periféricos y bombillas fluorescentes; posteriormente la </w:t>
      </w:r>
      <w:r w:rsidRPr="00AB1C80">
        <w:rPr>
          <w:rFonts w:cs="Arial"/>
          <w:b/>
          <w:bCs/>
          <w:color w:val="000000" w:themeColor="text1"/>
          <w:szCs w:val="24"/>
        </w:rPr>
        <w:t xml:space="preserve">Política de Producción y Consumo Sostenible en 2010 </w:t>
      </w:r>
      <w:r w:rsidRPr="00AB1C80">
        <w:rPr>
          <w:rFonts w:cs="Arial"/>
          <w:color w:val="000000" w:themeColor="text1"/>
          <w:szCs w:val="24"/>
        </w:rPr>
        <w:t xml:space="preserve">y la </w:t>
      </w:r>
      <w:r w:rsidRPr="00AB1C80">
        <w:rPr>
          <w:rFonts w:cs="Arial"/>
          <w:b/>
          <w:bCs/>
          <w:color w:val="000000" w:themeColor="text1"/>
          <w:szCs w:val="24"/>
        </w:rPr>
        <w:t>Política para la Gestión Integral de Residuos de Aparatos Eléctricos y Electrónicos – RAEE</w:t>
      </w:r>
      <w:r w:rsidRPr="00AB1C80">
        <w:rPr>
          <w:rFonts w:cs="Arial"/>
          <w:color w:val="000000" w:themeColor="text1"/>
          <w:szCs w:val="24"/>
        </w:rPr>
        <w:t xml:space="preserve"> contribuyen a la conceptualización de la economía circular.</w:t>
      </w:r>
      <w:r w:rsidRPr="00AB1C80">
        <w:rPr>
          <w:rStyle w:val="Refdenotaalpie"/>
          <w:rFonts w:cs="Arial"/>
          <w:color w:val="000000" w:themeColor="text1"/>
          <w:szCs w:val="24"/>
        </w:rPr>
        <w:footnoteReference w:id="49"/>
      </w:r>
    </w:p>
    <w:p w14:paraId="4FB868B6" w14:textId="77777777" w:rsidR="00AA63C7" w:rsidRPr="00AB1C80" w:rsidRDefault="00AA63C7" w:rsidP="00AB1C80">
      <w:pPr>
        <w:spacing w:line="276" w:lineRule="auto"/>
        <w:rPr>
          <w:rFonts w:cs="Arial"/>
          <w:color w:val="000000" w:themeColor="text1"/>
          <w:szCs w:val="24"/>
        </w:rPr>
      </w:pPr>
    </w:p>
    <w:p w14:paraId="7510FBC3" w14:textId="0A8EA2BA" w:rsidR="007B63B2" w:rsidRPr="00AB1C80" w:rsidRDefault="007B63B2" w:rsidP="00AB1C80">
      <w:pPr>
        <w:spacing w:line="276" w:lineRule="auto"/>
        <w:rPr>
          <w:rFonts w:cs="Arial"/>
          <w:color w:val="000000" w:themeColor="text1"/>
          <w:szCs w:val="24"/>
        </w:rPr>
      </w:pPr>
      <w:r w:rsidRPr="00AB1C80">
        <w:rPr>
          <w:rFonts w:cs="Arial"/>
          <w:color w:val="000000" w:themeColor="text1"/>
          <w:szCs w:val="24"/>
        </w:rPr>
        <w:t xml:space="preserve">Desde el año 2010, el Ministerio de Ambiente y Desarrollo Sostenible establece programas de responsabilidad extendida del productor que obliga a los productores e importadores de productos regulados, a asegurar su recolección en el mercado; es por ello </w:t>
      </w:r>
      <w:r w:rsidR="00A84705" w:rsidRPr="00AB1C80">
        <w:rPr>
          <w:rFonts w:cs="Arial"/>
          <w:color w:val="000000" w:themeColor="text1"/>
          <w:szCs w:val="24"/>
        </w:rPr>
        <w:t>por lo que</w:t>
      </w:r>
      <w:r w:rsidRPr="00AB1C80">
        <w:rPr>
          <w:rFonts w:cs="Arial"/>
          <w:color w:val="000000" w:themeColor="text1"/>
          <w:szCs w:val="24"/>
        </w:rPr>
        <w:t xml:space="preserve"> es indispensable tener en cuenta la </w:t>
      </w:r>
      <w:r w:rsidRPr="00AB1C80">
        <w:rPr>
          <w:rFonts w:cs="Arial"/>
          <w:b/>
          <w:bCs/>
          <w:color w:val="000000" w:themeColor="text1"/>
          <w:szCs w:val="24"/>
        </w:rPr>
        <w:t>Resolución 1457 de 2010</w:t>
      </w:r>
      <w:r w:rsidRPr="00AB1C80">
        <w:rPr>
          <w:rFonts w:cs="Arial"/>
          <w:color w:val="000000" w:themeColor="text1"/>
          <w:szCs w:val="24"/>
        </w:rPr>
        <w:t xml:space="preserve"> </w:t>
      </w:r>
      <w:r w:rsidRPr="00AB1C80">
        <w:rPr>
          <w:rFonts w:cs="Arial"/>
          <w:color w:val="000000" w:themeColor="text1"/>
          <w:szCs w:val="24"/>
        </w:rPr>
        <w:lastRenderedPageBreak/>
        <w:t>por la cual se establecen los Sistema de Recolección Selectiva y Gestión Ambiental de Llantas Usadas como línea de acción de los flujos de materiales industriales</w:t>
      </w:r>
      <w:r w:rsidR="00823353" w:rsidRPr="00AB1C80">
        <w:rPr>
          <w:rFonts w:cs="Arial"/>
          <w:color w:val="000000" w:themeColor="text1"/>
          <w:szCs w:val="24"/>
        </w:rPr>
        <w:t xml:space="preserve">. </w:t>
      </w:r>
    </w:p>
    <w:p w14:paraId="1BCD273F" w14:textId="28675668" w:rsidR="00823353" w:rsidRPr="00AB1C80" w:rsidRDefault="00823353" w:rsidP="00AB1C80">
      <w:pPr>
        <w:spacing w:line="276" w:lineRule="auto"/>
        <w:rPr>
          <w:rFonts w:cs="Arial"/>
          <w:color w:val="000000" w:themeColor="text1"/>
          <w:szCs w:val="24"/>
        </w:rPr>
      </w:pPr>
    </w:p>
    <w:p w14:paraId="51DEE37A" w14:textId="65A1C4F0" w:rsidR="00823353" w:rsidRPr="00AB1C80" w:rsidRDefault="00823353" w:rsidP="00AB1C80">
      <w:pPr>
        <w:spacing w:line="276" w:lineRule="auto"/>
        <w:rPr>
          <w:rFonts w:cs="Arial"/>
          <w:color w:val="000000" w:themeColor="text1"/>
          <w:szCs w:val="24"/>
        </w:rPr>
      </w:pPr>
      <w:r w:rsidRPr="00AB1C80">
        <w:rPr>
          <w:rFonts w:cs="Arial"/>
          <w:color w:val="000000" w:themeColor="text1"/>
          <w:szCs w:val="24"/>
        </w:rPr>
        <w:t xml:space="preserve">De igual manera, en el año 2014 se expide la </w:t>
      </w:r>
      <w:r w:rsidRPr="00AB1C80">
        <w:rPr>
          <w:rFonts w:cs="Arial"/>
          <w:b/>
          <w:bCs/>
          <w:color w:val="000000" w:themeColor="text1"/>
          <w:szCs w:val="24"/>
        </w:rPr>
        <w:t>Resolución 1207</w:t>
      </w:r>
      <w:r w:rsidRPr="00AB1C80">
        <w:rPr>
          <w:rFonts w:cs="Arial"/>
          <w:color w:val="000000" w:themeColor="text1"/>
          <w:szCs w:val="24"/>
        </w:rPr>
        <w:t xml:space="preserve">, en la que se define los valores de calidad permisibles para el reúso del agua residual. Sin embargo, el alcance de la resolución requiere de ajuste para ampliar el alcance del reúso de aguas tratadas. Por otra </w:t>
      </w:r>
      <w:r w:rsidR="00A84705" w:rsidRPr="00AB1C80">
        <w:rPr>
          <w:rFonts w:cs="Arial"/>
          <w:color w:val="000000" w:themeColor="text1"/>
          <w:szCs w:val="24"/>
        </w:rPr>
        <w:t>parte,</w:t>
      </w:r>
      <w:r w:rsidRPr="00AB1C80">
        <w:rPr>
          <w:rFonts w:cs="Arial"/>
          <w:color w:val="000000" w:themeColor="text1"/>
          <w:szCs w:val="24"/>
        </w:rPr>
        <w:t xml:space="preserve"> la </w:t>
      </w:r>
      <w:r w:rsidRPr="00AB1C80">
        <w:rPr>
          <w:rFonts w:cs="Arial"/>
          <w:b/>
          <w:bCs/>
          <w:color w:val="000000" w:themeColor="text1"/>
          <w:szCs w:val="24"/>
        </w:rPr>
        <w:t>Ley 1715 de 2014</w:t>
      </w:r>
      <w:r w:rsidRPr="00AB1C80">
        <w:rPr>
          <w:rFonts w:cs="Arial"/>
          <w:color w:val="000000" w:themeColor="text1"/>
          <w:szCs w:val="24"/>
        </w:rPr>
        <w:t xml:space="preserve"> promueve el desarrollo y la utilización de fuentes no convencionales de energía renovable al sistema energético nacional. De allí parten cuestiones y consideraciones para tener en cuenta lo estipulado en el </w:t>
      </w:r>
      <w:r w:rsidRPr="00AB1C80">
        <w:rPr>
          <w:rFonts w:cs="Arial"/>
          <w:b/>
          <w:bCs/>
          <w:color w:val="000000" w:themeColor="text1"/>
          <w:szCs w:val="24"/>
        </w:rPr>
        <w:t>Decreto 1076 de 2015</w:t>
      </w:r>
      <w:r w:rsidRPr="00AB1C80">
        <w:rPr>
          <w:rFonts w:cs="Arial"/>
          <w:color w:val="000000" w:themeColor="text1"/>
          <w:szCs w:val="24"/>
        </w:rPr>
        <w:t>, Decreto Único Reglamentario del Sector Ambiente y Desarrollo Sostenible y a su vez lo marcado en la normatividad vigente relacionado con la eficiencia en el uso de materiales, agua y energía.</w:t>
      </w:r>
    </w:p>
    <w:p w14:paraId="1F6AA84D" w14:textId="77777777" w:rsidR="00823353" w:rsidRPr="00AB1C80" w:rsidRDefault="00823353" w:rsidP="00AB1C80">
      <w:pPr>
        <w:spacing w:line="276" w:lineRule="auto"/>
        <w:rPr>
          <w:rFonts w:cs="Arial"/>
          <w:color w:val="000000" w:themeColor="text1"/>
          <w:szCs w:val="24"/>
        </w:rPr>
      </w:pPr>
    </w:p>
    <w:p w14:paraId="2BAF717F" w14:textId="334F1553" w:rsidR="008C7F17" w:rsidRPr="00AB1C80" w:rsidRDefault="008C7F17" w:rsidP="00AB1C80">
      <w:pPr>
        <w:spacing w:line="276" w:lineRule="auto"/>
        <w:rPr>
          <w:rFonts w:cs="Arial"/>
          <w:color w:val="000000" w:themeColor="text1"/>
          <w:szCs w:val="24"/>
        </w:rPr>
      </w:pPr>
      <w:r w:rsidRPr="00AB1C80">
        <w:rPr>
          <w:rFonts w:cs="Arial"/>
          <w:color w:val="000000" w:themeColor="text1"/>
          <w:szCs w:val="24"/>
        </w:rPr>
        <w:t xml:space="preserve">A groso modo, es importante tener en cuenta como soporte legal nacional los Programas de Uso Eficiente y Ahorro de los recursos naturales; el </w:t>
      </w:r>
      <w:r w:rsidRPr="00AB1C80">
        <w:rPr>
          <w:rFonts w:cs="Arial"/>
          <w:b/>
          <w:bCs/>
          <w:color w:val="000000" w:themeColor="text1"/>
          <w:szCs w:val="24"/>
        </w:rPr>
        <w:t>Programa para el Uso Eficiente y Ahorro del Agua PUEAA</w:t>
      </w:r>
      <w:r w:rsidRPr="00AB1C80">
        <w:rPr>
          <w:rFonts w:cs="Arial"/>
          <w:color w:val="000000" w:themeColor="text1"/>
          <w:szCs w:val="24"/>
        </w:rPr>
        <w:t xml:space="preserve">, reglamentada mediante la </w:t>
      </w:r>
      <w:r w:rsidRPr="00AB1C80">
        <w:rPr>
          <w:rFonts w:cs="Arial"/>
          <w:b/>
          <w:bCs/>
          <w:color w:val="000000" w:themeColor="text1"/>
          <w:szCs w:val="24"/>
        </w:rPr>
        <w:t>Ley 373 de 1997</w:t>
      </w:r>
      <w:r w:rsidRPr="00AB1C80">
        <w:rPr>
          <w:rFonts w:cs="Arial"/>
          <w:color w:val="000000" w:themeColor="text1"/>
          <w:szCs w:val="24"/>
        </w:rPr>
        <w:t xml:space="preserve">, junto con la </w:t>
      </w:r>
      <w:r w:rsidRPr="00AB1C80">
        <w:rPr>
          <w:rFonts w:cs="Arial"/>
          <w:b/>
          <w:bCs/>
          <w:color w:val="000000" w:themeColor="text1"/>
          <w:szCs w:val="24"/>
        </w:rPr>
        <w:t>Política Nacional para la Gestión Integral del Recurso Hídrico</w:t>
      </w:r>
      <w:r w:rsidRPr="00AB1C80">
        <w:rPr>
          <w:rFonts w:cs="Arial"/>
          <w:color w:val="000000" w:themeColor="text1"/>
          <w:szCs w:val="24"/>
        </w:rPr>
        <w:t xml:space="preserve"> en el 2010, buscan garantizar la sostenibilidad del recurso hídrico, mediante una gestión y un uso eficiente y eficaz mediante un horizonte de 12 años (2010- 2022). </w:t>
      </w:r>
      <w:r w:rsidR="00A84705" w:rsidRPr="00AB1C80">
        <w:rPr>
          <w:rFonts w:cs="Arial"/>
          <w:color w:val="000000" w:themeColor="text1"/>
          <w:szCs w:val="24"/>
        </w:rPr>
        <w:t>Igualmente,</w:t>
      </w:r>
      <w:r w:rsidRPr="00AB1C80">
        <w:rPr>
          <w:rFonts w:cs="Arial"/>
          <w:color w:val="000000" w:themeColor="text1"/>
          <w:szCs w:val="24"/>
        </w:rPr>
        <w:t xml:space="preserve"> la </w:t>
      </w:r>
      <w:r w:rsidRPr="00AB1C80">
        <w:rPr>
          <w:rFonts w:cs="Arial"/>
          <w:b/>
          <w:bCs/>
          <w:color w:val="000000" w:themeColor="text1"/>
          <w:szCs w:val="24"/>
        </w:rPr>
        <w:t>Resolución 41286 de 2016</w:t>
      </w:r>
      <w:r w:rsidRPr="00AB1C80">
        <w:rPr>
          <w:rFonts w:cs="Arial"/>
          <w:color w:val="000000" w:themeColor="text1"/>
          <w:szCs w:val="24"/>
        </w:rPr>
        <w:t>,</w:t>
      </w:r>
      <w:r w:rsidR="00EB7632" w:rsidRPr="00AB1C80">
        <w:rPr>
          <w:rFonts w:cs="Arial"/>
          <w:color w:val="000000" w:themeColor="text1"/>
          <w:szCs w:val="24"/>
        </w:rPr>
        <w:t xml:space="preserve"> del MINMINAS</w:t>
      </w:r>
      <w:r w:rsidRPr="00AB1C80">
        <w:rPr>
          <w:rFonts w:cs="Arial"/>
          <w:color w:val="000000" w:themeColor="text1"/>
          <w:szCs w:val="24"/>
        </w:rPr>
        <w:t xml:space="preserve"> por medio de la cual se adopta el Plan de Acción Indicativo 2017 - 2022 para el desarrollo del Programa de Uso Racional y Eficiente de la Energía PROURE en la cual define los objetivos y metas indicativas de eficiencia energética, acciones y medidas sectoriales y estrategias base para el cumplimiento de metas al sistema energético nacional. </w:t>
      </w:r>
    </w:p>
    <w:p w14:paraId="35C05A88" w14:textId="77777777" w:rsidR="00AA63C7" w:rsidRPr="00AB1C80" w:rsidRDefault="00AA63C7" w:rsidP="00AB1C80">
      <w:pPr>
        <w:spacing w:line="276" w:lineRule="auto"/>
        <w:rPr>
          <w:rFonts w:cs="Arial"/>
          <w:color w:val="000000" w:themeColor="text1"/>
          <w:szCs w:val="24"/>
        </w:rPr>
      </w:pPr>
    </w:p>
    <w:p w14:paraId="09DCC54A" w14:textId="072AD052" w:rsidR="00985A00" w:rsidRPr="00AB1C80" w:rsidRDefault="00FA69E7" w:rsidP="00AB1C80">
      <w:pPr>
        <w:spacing w:line="276" w:lineRule="auto"/>
        <w:rPr>
          <w:rFonts w:cs="Arial"/>
          <w:color w:val="000000" w:themeColor="text1"/>
          <w:szCs w:val="24"/>
        </w:rPr>
      </w:pPr>
      <w:r w:rsidRPr="00AB1C80">
        <w:rPr>
          <w:rFonts w:cs="Arial"/>
          <w:color w:val="000000" w:themeColor="text1"/>
          <w:szCs w:val="24"/>
        </w:rPr>
        <w:t xml:space="preserve">El Departamento Nacional de Planeación (DNP) junto con otras entidades regulatorias y competentes expiden nuevos elementos para fortalecer el modelo de desarrollo económico, ambiental y social del país, entre ellos la </w:t>
      </w:r>
      <w:r w:rsidRPr="00AB1C80">
        <w:rPr>
          <w:rFonts w:cs="Arial"/>
          <w:b/>
          <w:bCs/>
          <w:color w:val="000000" w:themeColor="text1"/>
          <w:szCs w:val="24"/>
        </w:rPr>
        <w:t>Política de Desarrollo Productivo a partir del CONPES 3866 de 2016</w:t>
      </w:r>
      <w:r w:rsidRPr="00AB1C80">
        <w:rPr>
          <w:rFonts w:cs="Arial"/>
          <w:color w:val="000000" w:themeColor="text1"/>
          <w:szCs w:val="24"/>
        </w:rPr>
        <w:t xml:space="preserve"> que promueven la generación de encadenamientos y el fortalecimiento de cadenas de valor como uno de los factores generadores de la productividad enmarcados en 7 ejes, la Transferencia de conocimiento y tecnología, la Innovación y emprendimiento, el Capital humano, el Financiamiento, los Encadenamientos productivos, la Calidad y el Comercio exterior. No obstante, es con el </w:t>
      </w:r>
      <w:r w:rsidRPr="00AB1C80">
        <w:rPr>
          <w:rFonts w:cs="Arial"/>
          <w:b/>
          <w:bCs/>
          <w:color w:val="000000" w:themeColor="text1"/>
          <w:szCs w:val="24"/>
        </w:rPr>
        <w:t>CONPES 3874 de 2016</w:t>
      </w:r>
      <w:r w:rsidRPr="00AB1C80">
        <w:rPr>
          <w:rFonts w:cs="Arial"/>
          <w:color w:val="000000" w:themeColor="text1"/>
          <w:szCs w:val="24"/>
        </w:rPr>
        <w:t xml:space="preserve"> que se expide la </w:t>
      </w:r>
      <w:r w:rsidRPr="00AB1C80">
        <w:rPr>
          <w:rFonts w:cs="Arial"/>
          <w:b/>
          <w:bCs/>
          <w:color w:val="000000" w:themeColor="text1"/>
          <w:szCs w:val="24"/>
        </w:rPr>
        <w:t>Política Nacional para la Gestión Integral de Residuos Sólidos</w:t>
      </w:r>
      <w:r w:rsidRPr="00AB1C80">
        <w:rPr>
          <w:rFonts w:cs="Arial"/>
          <w:color w:val="000000" w:themeColor="text1"/>
          <w:szCs w:val="24"/>
        </w:rPr>
        <w:t>, en la que se introduce el concepto de “avanzar en el cierre de ciclos” de manera oficial en el país</w:t>
      </w:r>
      <w:r w:rsidR="00EB5469" w:rsidRPr="00AB1C80">
        <w:rPr>
          <w:rFonts w:cs="Arial"/>
          <w:color w:val="000000" w:themeColor="text1"/>
          <w:szCs w:val="24"/>
        </w:rPr>
        <w:t>.</w:t>
      </w:r>
    </w:p>
    <w:p w14:paraId="339F1291" w14:textId="78980928" w:rsidR="00094F0C" w:rsidRPr="00AB1C80" w:rsidRDefault="00094F0C" w:rsidP="00AB1C80">
      <w:pPr>
        <w:spacing w:line="276" w:lineRule="auto"/>
        <w:rPr>
          <w:rFonts w:cs="Arial"/>
          <w:color w:val="000000" w:themeColor="text1"/>
          <w:szCs w:val="24"/>
        </w:rPr>
      </w:pPr>
    </w:p>
    <w:p w14:paraId="7F260F5A" w14:textId="35EAD2A9" w:rsidR="00EB5469" w:rsidRPr="00AB1C80" w:rsidRDefault="00EB5469" w:rsidP="00AB1C80">
      <w:pPr>
        <w:spacing w:line="276" w:lineRule="auto"/>
        <w:rPr>
          <w:rFonts w:cs="Arial"/>
          <w:color w:val="000000" w:themeColor="text1"/>
          <w:szCs w:val="24"/>
        </w:rPr>
      </w:pPr>
      <w:r w:rsidRPr="00AB1C80">
        <w:rPr>
          <w:rFonts w:cs="Arial"/>
          <w:color w:val="000000" w:themeColor="text1"/>
          <w:szCs w:val="24"/>
        </w:rPr>
        <w:lastRenderedPageBreak/>
        <w:t xml:space="preserve">Adicionalmente, es necesario contemplar en el marco normativo la </w:t>
      </w:r>
      <w:r w:rsidRPr="00AB1C80">
        <w:rPr>
          <w:rFonts w:cs="Arial"/>
          <w:b/>
          <w:bCs/>
          <w:color w:val="000000" w:themeColor="text1"/>
          <w:szCs w:val="24"/>
        </w:rPr>
        <w:t>Resolución 0472 de 2017</w:t>
      </w:r>
      <w:r w:rsidRPr="00AB1C80">
        <w:rPr>
          <w:rFonts w:cs="Arial"/>
          <w:color w:val="000000" w:themeColor="text1"/>
          <w:szCs w:val="24"/>
        </w:rPr>
        <w:t xml:space="preserve"> expedida por el Ministerio de Ambiente y Desarrollo Sostenible, Por la cual se reglamenta la Gestión Integral de los Residuos generados en las actividades de Construcción y Demolición (RCD), como uso circular de los flujos de materiales de construcción.</w:t>
      </w:r>
    </w:p>
    <w:p w14:paraId="4A88C211" w14:textId="7B89E4E2" w:rsidR="00CB3DBD" w:rsidRPr="00AB1C80" w:rsidRDefault="00CB3DBD" w:rsidP="00AB1C80">
      <w:pPr>
        <w:spacing w:line="276" w:lineRule="auto"/>
        <w:rPr>
          <w:rFonts w:cs="Arial"/>
          <w:color w:val="000000" w:themeColor="text1"/>
          <w:szCs w:val="24"/>
        </w:rPr>
      </w:pPr>
    </w:p>
    <w:p w14:paraId="565546FB" w14:textId="06226DEF" w:rsidR="00CB3DBD" w:rsidRPr="00AB1C80" w:rsidRDefault="00CB3DBD" w:rsidP="00AB1C80">
      <w:pPr>
        <w:spacing w:line="276" w:lineRule="auto"/>
        <w:rPr>
          <w:rFonts w:cs="Arial"/>
          <w:color w:val="000000" w:themeColor="text1"/>
          <w:szCs w:val="24"/>
        </w:rPr>
      </w:pPr>
      <w:r w:rsidRPr="00AB1C80">
        <w:rPr>
          <w:rFonts w:cs="Arial"/>
          <w:color w:val="000000" w:themeColor="text1"/>
          <w:szCs w:val="24"/>
        </w:rPr>
        <w:t xml:space="preserve">En el marco para el desarrollo de los Objetivos de Desarrollo Sostenible (ODS) en Colombia, se lleva a cabo la Estrategia para la implementación de los Objetivos de Desarrollo Sostenible (ODS) en Colombia a partir del </w:t>
      </w:r>
      <w:r w:rsidRPr="00AB1C80">
        <w:rPr>
          <w:rFonts w:cs="Arial"/>
          <w:b/>
          <w:bCs/>
          <w:color w:val="000000" w:themeColor="text1"/>
          <w:szCs w:val="24"/>
        </w:rPr>
        <w:t>CONPES 3918 de 2018</w:t>
      </w:r>
      <w:r w:rsidRPr="00AB1C80">
        <w:rPr>
          <w:rFonts w:cs="Arial"/>
          <w:color w:val="000000" w:themeColor="text1"/>
          <w:szCs w:val="24"/>
        </w:rPr>
        <w:t>, que traza indicadores y metas encaminadas a consolidar un modelo de desarrollo sostenible para el país con un horizonte a 2030. De esta manera, genera una hoja de ruta para cada una de las metas establecidas, incluyendo indicadores, entidades responsables y los recursos requeridos para llevarlas a buen término hacia el desarrollo sostenible. Sin embargo, esta política no establece medios de implementación para el cumplimiento de las metas nacionales y, por lo tanto, la Política de Crecimiento Verde</w:t>
      </w:r>
      <w:r w:rsidR="0058783B" w:rsidRPr="00AB1C80">
        <w:rPr>
          <w:rFonts w:cs="Arial"/>
          <w:color w:val="000000" w:themeColor="text1"/>
          <w:szCs w:val="24"/>
        </w:rPr>
        <w:t xml:space="preserve"> </w:t>
      </w:r>
      <w:r w:rsidRPr="00AB1C80">
        <w:rPr>
          <w:rFonts w:cs="Arial"/>
          <w:color w:val="000000" w:themeColor="text1"/>
          <w:szCs w:val="24"/>
        </w:rPr>
        <w:t>se hace necesaria para la definición de acciones estratégicas que permitan la consecución de un crecimiento económico, ambiental y social.</w:t>
      </w:r>
      <w:r w:rsidRPr="00AB1C80">
        <w:rPr>
          <w:rStyle w:val="Refdenotaalpie"/>
          <w:rFonts w:cs="Arial"/>
          <w:color w:val="000000" w:themeColor="text1"/>
          <w:szCs w:val="24"/>
        </w:rPr>
        <w:footnoteReference w:id="50"/>
      </w:r>
    </w:p>
    <w:p w14:paraId="741EA2B7" w14:textId="77777777" w:rsidR="00CB3DBD" w:rsidRPr="00AB1C80" w:rsidRDefault="00CB3DBD" w:rsidP="00AB1C80">
      <w:pPr>
        <w:spacing w:line="276" w:lineRule="auto"/>
        <w:rPr>
          <w:rFonts w:cs="Arial"/>
          <w:color w:val="000000" w:themeColor="text1"/>
          <w:szCs w:val="24"/>
        </w:rPr>
      </w:pPr>
    </w:p>
    <w:p w14:paraId="139625ED" w14:textId="3AB81FD2"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Los Objetivos de Desarrollo Sostenible (ODS) asociados a la economía circular son:</w:t>
      </w:r>
    </w:p>
    <w:p w14:paraId="44A9A16B" w14:textId="77777777" w:rsidR="00A65B7C" w:rsidRPr="00AB1C80" w:rsidRDefault="00A65B7C" w:rsidP="00AB1C80">
      <w:pPr>
        <w:spacing w:line="276" w:lineRule="auto"/>
        <w:rPr>
          <w:rFonts w:cs="Arial"/>
          <w:color w:val="000000" w:themeColor="text1"/>
          <w:szCs w:val="24"/>
        </w:rPr>
      </w:pPr>
    </w:p>
    <w:p w14:paraId="0239B577"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6 – Agua limpia y saneamiento</w:t>
      </w:r>
    </w:p>
    <w:p w14:paraId="7AF34AD4"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7 – Energía asequible y no contaminante</w:t>
      </w:r>
    </w:p>
    <w:p w14:paraId="628A947D"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8 - Trabajo decente y crecimiento económico</w:t>
      </w:r>
    </w:p>
    <w:p w14:paraId="796F5859"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9 – Industria, Innovación e Infraestructura</w:t>
      </w:r>
    </w:p>
    <w:p w14:paraId="3F9D3F79"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11 - Ciudades y comunidades sostenibles</w:t>
      </w:r>
    </w:p>
    <w:p w14:paraId="0E98E997"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12 - Producción y consumo responsable</w:t>
      </w:r>
    </w:p>
    <w:p w14:paraId="1B45F729"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13 - Acción por el clima</w:t>
      </w:r>
    </w:p>
    <w:p w14:paraId="6627A74D"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14 - Vida submarina</w:t>
      </w:r>
    </w:p>
    <w:p w14:paraId="1A4A12C9"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 xml:space="preserve">ODS 15 - Vida de ecosistemas terrestres </w:t>
      </w:r>
    </w:p>
    <w:p w14:paraId="26BF6C62" w14:textId="77777777" w:rsidR="00E5765C" w:rsidRPr="00AB1C80" w:rsidRDefault="00E5765C" w:rsidP="00AB1C80">
      <w:pPr>
        <w:spacing w:line="276" w:lineRule="auto"/>
        <w:rPr>
          <w:rFonts w:cs="Arial"/>
          <w:color w:val="000000" w:themeColor="text1"/>
          <w:szCs w:val="24"/>
        </w:rPr>
      </w:pPr>
      <w:r w:rsidRPr="00AB1C80">
        <w:rPr>
          <w:rFonts w:cs="Arial"/>
          <w:color w:val="000000" w:themeColor="text1"/>
          <w:szCs w:val="24"/>
        </w:rPr>
        <w:t>ODS 17- Alianza para lograr los objetivos</w:t>
      </w:r>
    </w:p>
    <w:p w14:paraId="46B0CB32" w14:textId="07700B51" w:rsidR="00A65B7C" w:rsidRPr="00AB1C80" w:rsidRDefault="00A65B7C" w:rsidP="00AB1C80">
      <w:pPr>
        <w:spacing w:line="276" w:lineRule="auto"/>
        <w:rPr>
          <w:rFonts w:cs="Arial"/>
          <w:color w:val="000000" w:themeColor="text1"/>
          <w:szCs w:val="24"/>
        </w:rPr>
      </w:pPr>
    </w:p>
    <w:p w14:paraId="7D21DD28" w14:textId="143AC294" w:rsidR="0058783B" w:rsidRPr="00AB1C80" w:rsidRDefault="0058783B" w:rsidP="00AB1C80">
      <w:pPr>
        <w:spacing w:line="276" w:lineRule="auto"/>
        <w:rPr>
          <w:rFonts w:cs="Arial"/>
          <w:color w:val="000000" w:themeColor="text1"/>
          <w:szCs w:val="24"/>
        </w:rPr>
      </w:pPr>
      <w:r w:rsidRPr="00AB1C80">
        <w:rPr>
          <w:rFonts w:cs="Arial"/>
          <w:color w:val="000000" w:themeColor="text1"/>
          <w:szCs w:val="24"/>
        </w:rPr>
        <w:t xml:space="preserve">De acuerdo a lo anterior, el </w:t>
      </w:r>
      <w:r w:rsidRPr="00AB1C80">
        <w:rPr>
          <w:rFonts w:cs="Arial"/>
          <w:b/>
          <w:bCs/>
          <w:color w:val="000000" w:themeColor="text1"/>
          <w:szCs w:val="24"/>
        </w:rPr>
        <w:t>CONPES 3934 de 2018</w:t>
      </w:r>
      <w:r w:rsidRPr="00AB1C80">
        <w:rPr>
          <w:rFonts w:cs="Arial"/>
          <w:color w:val="000000" w:themeColor="text1"/>
          <w:szCs w:val="24"/>
        </w:rPr>
        <w:t xml:space="preserve"> establece la </w:t>
      </w:r>
      <w:r w:rsidRPr="00AB1C80">
        <w:rPr>
          <w:rFonts w:cs="Arial"/>
          <w:b/>
          <w:bCs/>
          <w:color w:val="000000" w:themeColor="text1"/>
          <w:szCs w:val="24"/>
        </w:rPr>
        <w:t>Política de Crecimiento Verde</w:t>
      </w:r>
      <w:r w:rsidRPr="00AB1C80">
        <w:rPr>
          <w:rFonts w:cs="Arial"/>
          <w:color w:val="000000" w:themeColor="text1"/>
          <w:szCs w:val="24"/>
        </w:rPr>
        <w:t xml:space="preserve">, con el objetivo de impulsar a 2030 el aumento de la productividad y la competitividad económica del país, al tiempo que se asegura el uso sostenible del capital natural y la inclusión social, de manera compatible con el clima; así mismo define dentro de su plan de acción algunas estrategias hacia el   </w:t>
      </w:r>
      <w:r w:rsidRPr="00AB1C80">
        <w:rPr>
          <w:rFonts w:cs="Arial"/>
          <w:color w:val="000000" w:themeColor="text1"/>
          <w:szCs w:val="24"/>
        </w:rPr>
        <w:lastRenderedPageBreak/>
        <w:t>fortalecimiento de los mecanismos y los instrumentos para optimizar el uso de recursos naturales y energía en la producción y el consumo</w:t>
      </w:r>
      <w:r w:rsidR="001A7771" w:rsidRPr="00AB1C80">
        <w:rPr>
          <w:rFonts w:cs="Arial"/>
          <w:color w:val="000000" w:themeColor="text1"/>
          <w:szCs w:val="24"/>
        </w:rPr>
        <w:t xml:space="preserve">, así como la </w:t>
      </w:r>
      <w:r w:rsidR="001A7771" w:rsidRPr="00AB1C80">
        <w:rPr>
          <w:rFonts w:cs="Arial"/>
          <w:b/>
          <w:bCs/>
          <w:color w:val="000000" w:themeColor="text1"/>
          <w:szCs w:val="24"/>
        </w:rPr>
        <w:t xml:space="preserve">Resolución 1407 de 2018 </w:t>
      </w:r>
      <w:r w:rsidR="001A7771" w:rsidRPr="00AB1C80">
        <w:rPr>
          <w:rFonts w:cs="Arial"/>
          <w:color w:val="000000" w:themeColor="text1"/>
          <w:szCs w:val="24"/>
        </w:rPr>
        <w:t>de Responsabilidad extendida del producto para envases y empaques.</w:t>
      </w:r>
    </w:p>
    <w:p w14:paraId="706EE735" w14:textId="1569F73A" w:rsidR="00A65B7C" w:rsidRPr="00AB1C80" w:rsidRDefault="00A65B7C" w:rsidP="00AB1C80">
      <w:pPr>
        <w:spacing w:line="276" w:lineRule="auto"/>
        <w:rPr>
          <w:rFonts w:cs="Arial"/>
          <w:color w:val="000000" w:themeColor="text1"/>
          <w:szCs w:val="24"/>
        </w:rPr>
      </w:pPr>
    </w:p>
    <w:p w14:paraId="72335C34" w14:textId="71706E03" w:rsidR="00DD1969" w:rsidRPr="00AB1C80" w:rsidRDefault="00A84705" w:rsidP="00AB1C80">
      <w:pPr>
        <w:spacing w:line="276" w:lineRule="auto"/>
        <w:rPr>
          <w:rFonts w:cs="Arial"/>
          <w:color w:val="000000" w:themeColor="text1"/>
          <w:szCs w:val="24"/>
        </w:rPr>
      </w:pPr>
      <w:r w:rsidRPr="00AB1C80">
        <w:rPr>
          <w:rFonts w:cs="Arial"/>
          <w:color w:val="000000" w:themeColor="text1"/>
          <w:szCs w:val="24"/>
        </w:rPr>
        <w:t>Además,</w:t>
      </w:r>
      <w:r w:rsidR="00DD1969" w:rsidRPr="00AB1C80">
        <w:rPr>
          <w:rFonts w:cs="Arial"/>
          <w:color w:val="000000" w:themeColor="text1"/>
          <w:szCs w:val="24"/>
        </w:rPr>
        <w:t xml:space="preserve"> se cuenta con la </w:t>
      </w:r>
      <w:r w:rsidR="00DD1969" w:rsidRPr="00AB1C80">
        <w:rPr>
          <w:rFonts w:cs="Arial"/>
          <w:b/>
          <w:bCs/>
          <w:color w:val="000000" w:themeColor="text1"/>
          <w:szCs w:val="24"/>
        </w:rPr>
        <w:t>Ley 1955 de 2019</w:t>
      </w:r>
      <w:r w:rsidR="00DD1969" w:rsidRPr="00AB1C80">
        <w:rPr>
          <w:rFonts w:cs="Arial"/>
          <w:color w:val="000000" w:themeColor="text1"/>
          <w:szCs w:val="24"/>
        </w:rPr>
        <w:t xml:space="preserve"> mediante la cual se expide el </w:t>
      </w:r>
      <w:r w:rsidR="00DD1969" w:rsidRPr="00AB1C80">
        <w:rPr>
          <w:rFonts w:cs="Arial"/>
          <w:b/>
          <w:bCs/>
          <w:color w:val="000000" w:themeColor="text1"/>
          <w:szCs w:val="24"/>
        </w:rPr>
        <w:t>Plan Nacional de Desarrollo 2018 – 2022 “Pacto por Colombia, Pacto por la Equidad”</w:t>
      </w:r>
      <w:r w:rsidR="00DD1969" w:rsidRPr="00AB1C80">
        <w:rPr>
          <w:rFonts w:cs="Arial"/>
          <w:color w:val="000000" w:themeColor="text1"/>
          <w:szCs w:val="24"/>
        </w:rPr>
        <w:t>, y que introduce con la Estrategia Nacional de Economía Circular nuevos elementos para fortalecer el modelo de desarrollo económico, ambiental y social del país al igual que los documentos CONPES que desarrollan aspectos importantes que hacen parte de esta filosofía.</w:t>
      </w:r>
    </w:p>
    <w:p w14:paraId="581FAD1B" w14:textId="5240BB5A" w:rsidR="00F96784" w:rsidRPr="00AB1C80" w:rsidRDefault="00F96784" w:rsidP="00AB1C80">
      <w:pPr>
        <w:spacing w:line="276" w:lineRule="auto"/>
        <w:rPr>
          <w:rFonts w:cs="Arial"/>
          <w:color w:val="000000" w:themeColor="text1"/>
          <w:szCs w:val="24"/>
        </w:rPr>
      </w:pPr>
    </w:p>
    <w:p w14:paraId="6987328A" w14:textId="77777777" w:rsidR="00D41BDD" w:rsidRPr="00AB1C80" w:rsidRDefault="00D41BDD" w:rsidP="00AB1C80">
      <w:pPr>
        <w:spacing w:line="276" w:lineRule="auto"/>
        <w:rPr>
          <w:rFonts w:cs="Arial"/>
          <w:color w:val="000000" w:themeColor="text1"/>
          <w:szCs w:val="24"/>
        </w:rPr>
      </w:pPr>
      <w:r w:rsidRPr="00AB1C80">
        <w:rPr>
          <w:rFonts w:cs="Arial"/>
          <w:color w:val="000000" w:themeColor="text1"/>
          <w:szCs w:val="24"/>
        </w:rPr>
        <w:t xml:space="preserve">En el año 2020, el Instituto Colombiano de Normas Técnicas y Certificación, (ICONTEC), organismo nacional de normalización, según el Decreto 1595 de 2015, establece la </w:t>
      </w:r>
      <w:r w:rsidRPr="00AB1C80">
        <w:rPr>
          <w:rFonts w:cs="Arial"/>
          <w:b/>
          <w:bCs/>
          <w:color w:val="000000" w:themeColor="text1"/>
          <w:szCs w:val="24"/>
        </w:rPr>
        <w:t>Guía Técnica Colombiana GTC 314 – 2020</w:t>
      </w:r>
      <w:r w:rsidRPr="00AB1C80">
        <w:rPr>
          <w:rFonts w:cs="Arial"/>
          <w:color w:val="000000" w:themeColor="text1"/>
          <w:szCs w:val="24"/>
        </w:rPr>
        <w:t xml:space="preserve"> </w:t>
      </w:r>
      <w:r w:rsidRPr="00AB1C80">
        <w:rPr>
          <w:rFonts w:cs="Arial"/>
          <w:b/>
          <w:bCs/>
          <w:color w:val="000000" w:themeColor="text1"/>
          <w:szCs w:val="24"/>
        </w:rPr>
        <w:t>“Marco para la implementación de los principios de la economía circular en las organizaciones”,</w:t>
      </w:r>
      <w:r w:rsidRPr="00AB1C80">
        <w:rPr>
          <w:rFonts w:cs="Arial"/>
          <w:color w:val="000000" w:themeColor="text1"/>
          <w:szCs w:val="24"/>
        </w:rPr>
        <w:t xml:space="preserve"> elaborada por el CTN 14: Gestión Ambiental y herramientas para el desarrollo sostenible y ratificada por el Consejo Directivo de 2020-11-25.</w:t>
      </w:r>
    </w:p>
    <w:p w14:paraId="588EDCCD" w14:textId="77777777" w:rsidR="00F96784" w:rsidRPr="00AB1C80" w:rsidRDefault="00F96784" w:rsidP="00AB1C80">
      <w:pPr>
        <w:spacing w:line="276" w:lineRule="auto"/>
        <w:rPr>
          <w:rFonts w:cs="Arial"/>
          <w:color w:val="000000" w:themeColor="text1"/>
          <w:szCs w:val="24"/>
        </w:rPr>
      </w:pPr>
    </w:p>
    <w:p w14:paraId="0FF3A9D8" w14:textId="7883E0DA" w:rsidR="004D43BA" w:rsidRPr="00AB1C80" w:rsidRDefault="00202C85" w:rsidP="00AB1C80">
      <w:pPr>
        <w:spacing w:line="276" w:lineRule="auto"/>
        <w:rPr>
          <w:rFonts w:cs="Arial"/>
          <w:color w:val="000000" w:themeColor="text1"/>
          <w:szCs w:val="24"/>
        </w:rPr>
      </w:pPr>
      <w:r w:rsidRPr="00AB1C80">
        <w:rPr>
          <w:rFonts w:cs="Arial"/>
          <w:color w:val="000000" w:themeColor="text1"/>
          <w:szCs w:val="24"/>
        </w:rPr>
        <w:t>Las autoridades ambientales (A</w:t>
      </w:r>
      <w:r w:rsidR="00C66432" w:rsidRPr="00AB1C80">
        <w:rPr>
          <w:rFonts w:cs="Arial"/>
          <w:color w:val="000000" w:themeColor="text1"/>
          <w:szCs w:val="24"/>
        </w:rPr>
        <w:t xml:space="preserve">utoridad </w:t>
      </w:r>
      <w:r w:rsidRPr="00AB1C80">
        <w:rPr>
          <w:rFonts w:cs="Arial"/>
          <w:color w:val="000000" w:themeColor="text1"/>
          <w:szCs w:val="24"/>
        </w:rPr>
        <w:t>N</w:t>
      </w:r>
      <w:r w:rsidR="00C66432" w:rsidRPr="00AB1C80">
        <w:rPr>
          <w:rFonts w:cs="Arial"/>
          <w:color w:val="000000" w:themeColor="text1"/>
          <w:szCs w:val="24"/>
        </w:rPr>
        <w:t xml:space="preserve">acional de </w:t>
      </w:r>
      <w:r w:rsidRPr="00AB1C80">
        <w:rPr>
          <w:rFonts w:cs="Arial"/>
          <w:color w:val="000000" w:themeColor="text1"/>
          <w:szCs w:val="24"/>
        </w:rPr>
        <w:t>L</w:t>
      </w:r>
      <w:r w:rsidR="00C66432" w:rsidRPr="00AB1C80">
        <w:rPr>
          <w:rFonts w:cs="Arial"/>
          <w:color w:val="000000" w:themeColor="text1"/>
          <w:szCs w:val="24"/>
        </w:rPr>
        <w:t xml:space="preserve">icencias </w:t>
      </w:r>
      <w:r w:rsidRPr="00AB1C80">
        <w:rPr>
          <w:rFonts w:cs="Arial"/>
          <w:color w:val="000000" w:themeColor="text1"/>
          <w:szCs w:val="24"/>
        </w:rPr>
        <w:t>A</w:t>
      </w:r>
      <w:r w:rsidR="00C66432" w:rsidRPr="00AB1C80">
        <w:rPr>
          <w:rFonts w:cs="Arial"/>
          <w:color w:val="000000" w:themeColor="text1"/>
          <w:szCs w:val="24"/>
        </w:rPr>
        <w:t>mbientales</w:t>
      </w:r>
      <w:r w:rsidRPr="00AB1C80">
        <w:rPr>
          <w:rFonts w:cs="Arial"/>
          <w:color w:val="000000" w:themeColor="text1"/>
          <w:szCs w:val="24"/>
        </w:rPr>
        <w:t xml:space="preserve"> o Corporaciones Autónomas Regionales), realizan control y seguimiento</w:t>
      </w:r>
      <w:r w:rsidR="005B312B" w:rsidRPr="00AB1C80">
        <w:rPr>
          <w:rFonts w:cs="Arial"/>
          <w:color w:val="000000" w:themeColor="text1"/>
          <w:szCs w:val="24"/>
        </w:rPr>
        <w:t xml:space="preserve"> </w:t>
      </w:r>
      <w:r w:rsidRPr="00AB1C80">
        <w:rPr>
          <w:rFonts w:cs="Arial"/>
          <w:color w:val="000000" w:themeColor="text1"/>
          <w:szCs w:val="24"/>
        </w:rPr>
        <w:t>al aprovechamiento sobre los recursos naturales renovables que se pretenden usar, aprovechar o afectar para el desarrollo de</w:t>
      </w:r>
      <w:r w:rsidR="00002891" w:rsidRPr="00AB1C80">
        <w:rPr>
          <w:rFonts w:cs="Arial"/>
          <w:color w:val="000000" w:themeColor="text1"/>
          <w:szCs w:val="24"/>
        </w:rPr>
        <w:t xml:space="preserve"> un</w:t>
      </w:r>
      <w:r w:rsidRPr="00AB1C80">
        <w:rPr>
          <w:rFonts w:cs="Arial"/>
          <w:color w:val="000000" w:themeColor="text1"/>
          <w:szCs w:val="24"/>
        </w:rPr>
        <w:t xml:space="preserve"> proyecto, obra o actividad, como parte de la aprobación y trazabilidad de los instrumentos ambientales requeridos u obtenidos por las empresas para cada uno de sus proyectos,</w:t>
      </w:r>
      <w:r w:rsidR="00C66432" w:rsidRPr="00AB1C80">
        <w:rPr>
          <w:rFonts w:cs="Arial"/>
          <w:color w:val="000000" w:themeColor="text1"/>
          <w:szCs w:val="24"/>
        </w:rPr>
        <w:t xml:space="preserve"> dentro de la normatividad relacionada con proyectos del sector minero, se encuentra la </w:t>
      </w:r>
      <w:r w:rsidR="00C66432" w:rsidRPr="00AB1C80">
        <w:rPr>
          <w:rFonts w:cs="Arial"/>
          <w:b/>
          <w:bCs/>
          <w:color w:val="000000" w:themeColor="text1"/>
          <w:szCs w:val="24"/>
        </w:rPr>
        <w:t>Resolución</w:t>
      </w:r>
      <w:r w:rsidR="00C66432" w:rsidRPr="00AB1C80">
        <w:rPr>
          <w:rFonts w:cs="Arial"/>
          <w:color w:val="000000" w:themeColor="text1"/>
          <w:szCs w:val="24"/>
        </w:rPr>
        <w:t xml:space="preserve"> </w:t>
      </w:r>
      <w:r w:rsidR="00C66432" w:rsidRPr="00AB1C80">
        <w:rPr>
          <w:rFonts w:cs="Arial"/>
          <w:b/>
          <w:bCs/>
          <w:color w:val="000000" w:themeColor="text1"/>
          <w:szCs w:val="24"/>
        </w:rPr>
        <w:t>2206 de 2016 – ANLA</w:t>
      </w:r>
      <w:r w:rsidR="00C66432" w:rsidRPr="00AB1C80">
        <w:rPr>
          <w:rFonts w:cs="Arial"/>
          <w:color w:val="000000" w:themeColor="text1"/>
          <w:szCs w:val="24"/>
        </w:rPr>
        <w:t xml:space="preserve"> que corresponde a los</w:t>
      </w:r>
      <w:r w:rsidR="00002891" w:rsidRPr="00AB1C80">
        <w:rPr>
          <w:rFonts w:cs="Arial"/>
          <w:color w:val="000000" w:themeColor="text1"/>
          <w:szCs w:val="24"/>
        </w:rPr>
        <w:t xml:space="preserve"> términos de referencia para la elaboración del Estudio de Impacto Ambiental – EIA, requerido para el trámite de la licencia ambiental de los proyectos de explotación de proyectos mineros y se toman otras determinaciones,</w:t>
      </w:r>
      <w:r w:rsidR="00C66432" w:rsidRPr="00AB1C80">
        <w:rPr>
          <w:rFonts w:cs="Arial"/>
          <w:color w:val="000000" w:themeColor="text1"/>
          <w:szCs w:val="24"/>
        </w:rPr>
        <w:t xml:space="preserve"> así como los términos de referencia para la elaboración del Estudio </w:t>
      </w:r>
      <w:r w:rsidR="00C84C91" w:rsidRPr="00AB1C80">
        <w:rPr>
          <w:rFonts w:cs="Arial"/>
          <w:color w:val="000000" w:themeColor="text1"/>
          <w:szCs w:val="24"/>
        </w:rPr>
        <w:t>d</w:t>
      </w:r>
      <w:r w:rsidR="00C66432" w:rsidRPr="00AB1C80">
        <w:rPr>
          <w:rFonts w:cs="Arial"/>
          <w:color w:val="000000" w:themeColor="text1"/>
          <w:szCs w:val="24"/>
        </w:rPr>
        <w:t>e Impacto Ambiental – EIA, requerido para el trámite de la licencia ambiental global o definitiva para proyectos de explotación de pequeña minería</w:t>
      </w:r>
      <w:r w:rsidR="00002891" w:rsidRPr="00AB1C80">
        <w:rPr>
          <w:rFonts w:cs="Arial"/>
          <w:color w:val="000000" w:themeColor="text1"/>
          <w:szCs w:val="24"/>
        </w:rPr>
        <w:t xml:space="preserve">. </w:t>
      </w:r>
    </w:p>
    <w:p w14:paraId="7BAF5F74" w14:textId="4B706FEC" w:rsidR="004D43BA" w:rsidRPr="00AB1C80" w:rsidRDefault="004D43BA" w:rsidP="00AB1C80">
      <w:pPr>
        <w:spacing w:line="276" w:lineRule="auto"/>
        <w:rPr>
          <w:rFonts w:cs="Arial"/>
          <w:color w:val="000000" w:themeColor="text1"/>
          <w:szCs w:val="24"/>
        </w:rPr>
      </w:pPr>
    </w:p>
    <w:p w14:paraId="77AEE687" w14:textId="11949D91" w:rsidR="003A131D" w:rsidRPr="00AB1C80" w:rsidRDefault="00CD6180" w:rsidP="00AB1C80">
      <w:pPr>
        <w:spacing w:line="276" w:lineRule="auto"/>
        <w:rPr>
          <w:rFonts w:cs="Arial"/>
          <w:color w:val="000000" w:themeColor="text1"/>
          <w:szCs w:val="24"/>
        </w:rPr>
      </w:pPr>
      <w:r w:rsidRPr="00AB1C80">
        <w:rPr>
          <w:rFonts w:cs="Arial"/>
          <w:color w:val="000000" w:themeColor="text1"/>
          <w:szCs w:val="24"/>
        </w:rPr>
        <w:t xml:space="preserve">Así mismo y </w:t>
      </w:r>
      <w:r w:rsidR="00202C85" w:rsidRPr="00AB1C80">
        <w:rPr>
          <w:rFonts w:cs="Arial"/>
          <w:color w:val="000000" w:themeColor="text1"/>
          <w:szCs w:val="24"/>
        </w:rPr>
        <w:t xml:space="preserve">según lo </w:t>
      </w:r>
      <w:r w:rsidRPr="00AB1C80">
        <w:rPr>
          <w:rFonts w:cs="Arial"/>
          <w:color w:val="000000" w:themeColor="text1"/>
          <w:szCs w:val="24"/>
        </w:rPr>
        <w:t xml:space="preserve">comentado por las Autoridades Ambientales con las cuales se han realizado mesas de trabajo, el aprovechamiento </w:t>
      </w:r>
      <w:r w:rsidR="006E7F3F" w:rsidRPr="00AB1C80">
        <w:rPr>
          <w:rFonts w:cs="Arial"/>
          <w:color w:val="000000" w:themeColor="text1"/>
          <w:szCs w:val="24"/>
        </w:rPr>
        <w:t xml:space="preserve">de materiales en el marco de la economía circular, corresponde a depósitos de estériles, los cuales se han realizado en el marco de </w:t>
      </w:r>
      <w:r w:rsidR="00450EFF" w:rsidRPr="00AB1C80">
        <w:rPr>
          <w:rFonts w:cs="Arial"/>
          <w:color w:val="000000" w:themeColor="text1"/>
          <w:szCs w:val="24"/>
        </w:rPr>
        <w:t xml:space="preserve">autorizaciones temporales dando cumplimiento a lo </w:t>
      </w:r>
      <w:r w:rsidR="00202C85" w:rsidRPr="00AB1C80">
        <w:rPr>
          <w:rFonts w:cs="Arial"/>
          <w:color w:val="000000" w:themeColor="text1"/>
          <w:szCs w:val="24"/>
        </w:rPr>
        <w:t xml:space="preserve">establecido en la </w:t>
      </w:r>
      <w:r w:rsidR="00202C85" w:rsidRPr="00AB1C80">
        <w:rPr>
          <w:rFonts w:cs="Arial"/>
          <w:b/>
          <w:bCs/>
          <w:color w:val="000000" w:themeColor="text1"/>
          <w:szCs w:val="24"/>
        </w:rPr>
        <w:t>Resolución 1561 de 2019</w:t>
      </w:r>
      <w:r w:rsidR="00202C85" w:rsidRPr="00AB1C80">
        <w:rPr>
          <w:rFonts w:cs="Arial"/>
          <w:color w:val="000000" w:themeColor="text1"/>
          <w:szCs w:val="24"/>
        </w:rPr>
        <w:t xml:space="preserve"> por la cual se adoptan los términos de </w:t>
      </w:r>
      <w:r w:rsidR="00202C85" w:rsidRPr="00AB1C80">
        <w:rPr>
          <w:rFonts w:cs="Arial"/>
          <w:color w:val="000000" w:themeColor="text1"/>
          <w:szCs w:val="24"/>
        </w:rPr>
        <w:lastRenderedPageBreak/>
        <w:t xml:space="preserve">referencia para la elaboración del Estudio de Impacto Ambiental (EIA), requerido para el trámite de la licencia ambiental de los proyectos de explotación de materiales de construcción, amparados en autorizaciones mineras temporales, </w:t>
      </w:r>
      <w:r w:rsidR="00450EFF" w:rsidRPr="00AB1C80">
        <w:rPr>
          <w:rFonts w:cs="Arial"/>
          <w:color w:val="000000" w:themeColor="text1"/>
          <w:szCs w:val="24"/>
        </w:rPr>
        <w:t>relacionados</w:t>
      </w:r>
      <w:r w:rsidR="00202C85" w:rsidRPr="00AB1C80">
        <w:rPr>
          <w:rFonts w:cs="Arial"/>
          <w:color w:val="000000" w:themeColor="text1"/>
          <w:szCs w:val="24"/>
        </w:rPr>
        <w:t xml:space="preserve"> al mantenimiento, mejoramiento y rehabilitación de vías terciarias y para el programa Colombia Rural.</w:t>
      </w:r>
    </w:p>
    <w:p w14:paraId="129B9193" w14:textId="77777777" w:rsidR="00106D0C" w:rsidRPr="00AB1C80" w:rsidRDefault="00106D0C" w:rsidP="00AB1C80">
      <w:pPr>
        <w:spacing w:line="276" w:lineRule="auto"/>
        <w:rPr>
          <w:rFonts w:cs="Arial"/>
          <w:color w:val="000000" w:themeColor="text1"/>
          <w:szCs w:val="24"/>
        </w:rPr>
      </w:pPr>
    </w:p>
    <w:p w14:paraId="61466E36" w14:textId="43597C59" w:rsidR="003A131D" w:rsidRPr="00AB1C80" w:rsidRDefault="003A131D" w:rsidP="00AB1C80">
      <w:pPr>
        <w:spacing w:line="276" w:lineRule="auto"/>
        <w:rPr>
          <w:rFonts w:cs="Arial"/>
          <w:color w:val="000000" w:themeColor="text1"/>
          <w:szCs w:val="24"/>
        </w:rPr>
      </w:pPr>
      <w:r w:rsidRPr="00AB1C80">
        <w:rPr>
          <w:rFonts w:cs="Arial"/>
          <w:color w:val="000000" w:themeColor="text1"/>
          <w:szCs w:val="24"/>
        </w:rPr>
        <w:t>En la siguiente línea del tiempo se presenta y se describe cronológicamente la normatividad relacionada a la temática de economía circular en Colombia.</w:t>
      </w:r>
    </w:p>
    <w:p w14:paraId="13879031" w14:textId="52B35A4D" w:rsidR="003A131D" w:rsidRPr="00AB1C80" w:rsidRDefault="003A131D" w:rsidP="00AB1C80">
      <w:pPr>
        <w:spacing w:line="276" w:lineRule="auto"/>
        <w:rPr>
          <w:rFonts w:cs="Arial"/>
          <w:color w:val="000000" w:themeColor="text1"/>
          <w:szCs w:val="24"/>
        </w:rPr>
      </w:pPr>
    </w:p>
    <w:p w14:paraId="6A93824A" w14:textId="77777777" w:rsidR="007402D4" w:rsidRPr="00AB1C80" w:rsidRDefault="007402D4" w:rsidP="00AB1C80">
      <w:pPr>
        <w:spacing w:line="276" w:lineRule="auto"/>
        <w:rPr>
          <w:rFonts w:cs="Arial"/>
          <w:color w:val="000000" w:themeColor="text1"/>
          <w:szCs w:val="24"/>
        </w:rPr>
        <w:sectPr w:rsidR="007402D4" w:rsidRPr="00AB1C80" w:rsidSect="00A84705">
          <w:pgSz w:w="12240" w:h="15840"/>
          <w:pgMar w:top="1418" w:right="1701" w:bottom="1418" w:left="1701" w:header="709" w:footer="709" w:gutter="0"/>
          <w:cols w:space="708"/>
          <w:docGrid w:linePitch="360"/>
        </w:sectPr>
      </w:pPr>
    </w:p>
    <w:p w14:paraId="49366901" w14:textId="23365216" w:rsidR="00514E89" w:rsidRPr="00AB1C80" w:rsidRDefault="003E557B" w:rsidP="00AB1C80">
      <w:pPr>
        <w:pStyle w:val="FigurayTabla"/>
        <w:spacing w:line="276" w:lineRule="auto"/>
        <w:rPr>
          <w:rFonts w:cs="Arial"/>
          <w:lang w:val="es-CO"/>
        </w:rPr>
      </w:pPr>
      <w:bookmarkStart w:id="110" w:name="_Toc86333005"/>
      <w:r w:rsidRPr="00AB1C80">
        <w:rPr>
          <w:rFonts w:cs="Arial"/>
          <w:lang w:val="es-CO"/>
        </w:rPr>
        <w:lastRenderedPageBreak/>
        <w:t xml:space="preserve">Figura </w:t>
      </w:r>
      <w:r w:rsidRPr="00AB1C80">
        <w:rPr>
          <w:rFonts w:cs="Arial"/>
          <w:lang w:val="es-CO"/>
        </w:rPr>
        <w:fldChar w:fldCharType="begin"/>
      </w:r>
      <w:r w:rsidRPr="00AB1C80">
        <w:rPr>
          <w:rFonts w:cs="Arial"/>
          <w:lang w:val="es-CO"/>
        </w:rPr>
        <w:instrText xml:space="preserve"> SEQ Figura \* ARABIC </w:instrText>
      </w:r>
      <w:r w:rsidRPr="00AB1C80">
        <w:rPr>
          <w:rFonts w:cs="Arial"/>
          <w:lang w:val="es-CO"/>
        </w:rPr>
        <w:fldChar w:fldCharType="separate"/>
      </w:r>
      <w:r w:rsidR="00AB1C80">
        <w:rPr>
          <w:rFonts w:cs="Arial"/>
          <w:noProof/>
          <w:lang w:val="es-CO"/>
        </w:rPr>
        <w:t>8</w:t>
      </w:r>
      <w:r w:rsidRPr="00AB1C80">
        <w:rPr>
          <w:rFonts w:cs="Arial"/>
          <w:lang w:val="es-CO"/>
        </w:rPr>
        <w:fldChar w:fldCharType="end"/>
      </w:r>
      <w:r w:rsidR="00B2472B" w:rsidRPr="00AB1C80">
        <w:rPr>
          <w:rFonts w:cs="Arial"/>
          <w:bCs/>
          <w:lang w:val="es-CO"/>
        </w:rPr>
        <w:t>.</w:t>
      </w:r>
      <w:r w:rsidR="00B2472B" w:rsidRPr="00AB1C80">
        <w:rPr>
          <w:rFonts w:cs="Arial"/>
          <w:lang w:val="es-CO"/>
        </w:rPr>
        <w:t xml:space="preserve"> </w:t>
      </w:r>
      <w:r w:rsidR="00DD30A4" w:rsidRPr="00AB1C80">
        <w:rPr>
          <w:rFonts w:cs="Arial"/>
          <w:lang w:val="es-CO"/>
        </w:rPr>
        <w:t>Línea de tiempo marco legal nacional relacionado con la economía circular en la actividad minera</w:t>
      </w:r>
      <w:r w:rsidR="00B2472B" w:rsidRPr="00AB1C80">
        <w:rPr>
          <w:rFonts w:cs="Arial"/>
          <w:lang w:val="es-CO"/>
        </w:rPr>
        <w:t>.</w:t>
      </w:r>
      <w:bookmarkEnd w:id="110"/>
    </w:p>
    <w:p w14:paraId="1F7514B0" w14:textId="01A206AA" w:rsidR="007402D4" w:rsidRPr="00AB1C80" w:rsidRDefault="003E557B" w:rsidP="00AB1C80">
      <w:pPr>
        <w:spacing w:line="276" w:lineRule="auto"/>
        <w:jc w:val="center"/>
        <w:rPr>
          <w:rFonts w:cs="Arial"/>
          <w:color w:val="000000" w:themeColor="text1"/>
          <w:szCs w:val="24"/>
        </w:rPr>
      </w:pPr>
      <w:r w:rsidRPr="00AB1C80">
        <w:rPr>
          <w:rFonts w:cs="Arial"/>
          <w:noProof/>
          <w:color w:val="000000" w:themeColor="text1"/>
          <w:szCs w:val="24"/>
        </w:rPr>
        <w:drawing>
          <wp:inline distT="0" distB="0" distL="0" distR="0" wp14:anchorId="46A235F1" wp14:editId="3E5518E4">
            <wp:extent cx="8389963" cy="4164965"/>
            <wp:effectExtent l="19050" t="19050" r="11430" b="260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391617" cy="4165786"/>
                    </a:xfrm>
                    <a:prstGeom prst="rect">
                      <a:avLst/>
                    </a:prstGeom>
                    <a:noFill/>
                    <a:ln w="19050">
                      <a:solidFill>
                        <a:schemeClr val="accent5">
                          <a:lumMod val="50000"/>
                        </a:schemeClr>
                      </a:solidFill>
                    </a:ln>
                  </pic:spPr>
                </pic:pic>
              </a:graphicData>
            </a:graphic>
          </wp:inline>
        </w:drawing>
      </w:r>
    </w:p>
    <w:p w14:paraId="69A777B5" w14:textId="77777777" w:rsidR="00B2472B" w:rsidRPr="00AB1C80" w:rsidRDefault="00B2472B" w:rsidP="00AB1C80">
      <w:pPr>
        <w:pStyle w:val="Fuente"/>
        <w:spacing w:line="276" w:lineRule="auto"/>
        <w:rPr>
          <w:rFonts w:cs="Arial"/>
          <w:lang w:val="es-CO"/>
        </w:rPr>
      </w:pPr>
      <w:r w:rsidRPr="00AB1C80">
        <w:rPr>
          <w:rFonts w:cs="Arial"/>
          <w:bCs/>
          <w:lang w:val="es-CO"/>
        </w:rPr>
        <w:t>Fuente:</w:t>
      </w:r>
      <w:r w:rsidRPr="00AB1C80">
        <w:rPr>
          <w:rFonts w:cs="Arial"/>
          <w:lang w:val="es-CO"/>
        </w:rPr>
        <w:t xml:space="preserve"> ATG Ltda., 2021.</w:t>
      </w:r>
    </w:p>
    <w:p w14:paraId="144E40FC" w14:textId="1EDD00D1" w:rsidR="00B2472B" w:rsidRPr="00AB1C80" w:rsidRDefault="00B2472B" w:rsidP="00AB1C80">
      <w:pPr>
        <w:spacing w:line="276" w:lineRule="auto"/>
        <w:rPr>
          <w:rFonts w:cs="Arial"/>
          <w:color w:val="000000" w:themeColor="text1"/>
          <w:szCs w:val="24"/>
        </w:rPr>
        <w:sectPr w:rsidR="00B2472B" w:rsidRPr="00AB1C80" w:rsidSect="007402D4">
          <w:pgSz w:w="15840" w:h="12240" w:orient="landscape"/>
          <w:pgMar w:top="1701" w:right="1418" w:bottom="1701" w:left="1418" w:header="709" w:footer="709" w:gutter="0"/>
          <w:cols w:space="708"/>
          <w:docGrid w:linePitch="360"/>
        </w:sectPr>
      </w:pPr>
    </w:p>
    <w:p w14:paraId="14E75E56" w14:textId="77777777" w:rsidR="00DE2BF8" w:rsidRPr="00AB1C80" w:rsidRDefault="00DE2BF8" w:rsidP="00AB1C80">
      <w:pPr>
        <w:pStyle w:val="Ttulo3"/>
        <w:spacing w:line="276" w:lineRule="auto"/>
        <w:rPr>
          <w:rFonts w:cs="Arial"/>
        </w:rPr>
      </w:pPr>
      <w:bookmarkStart w:id="111" w:name="_Toc86332934"/>
      <w:r w:rsidRPr="00AB1C80">
        <w:rPr>
          <w:rFonts w:cs="Arial"/>
        </w:rPr>
        <w:lastRenderedPageBreak/>
        <w:t>Temática internacional</w:t>
      </w:r>
      <w:bookmarkEnd w:id="111"/>
    </w:p>
    <w:p w14:paraId="0B1ABCA6" w14:textId="6C6255AF" w:rsidR="00DE2BF8" w:rsidRPr="00AB1C80" w:rsidRDefault="00DE2BF8" w:rsidP="00AB1C80">
      <w:pPr>
        <w:spacing w:line="276" w:lineRule="auto"/>
        <w:rPr>
          <w:rFonts w:cs="Arial"/>
          <w:color w:val="000000" w:themeColor="text1"/>
          <w:szCs w:val="24"/>
        </w:rPr>
      </w:pPr>
    </w:p>
    <w:p w14:paraId="138D9D7D" w14:textId="50A17B87" w:rsidR="00BC793B" w:rsidRPr="00AB1C80" w:rsidRDefault="00BC793B" w:rsidP="00AB1C80">
      <w:pPr>
        <w:spacing w:line="276" w:lineRule="auto"/>
        <w:rPr>
          <w:rFonts w:cs="Arial"/>
          <w:color w:val="000000" w:themeColor="text1"/>
          <w:szCs w:val="24"/>
        </w:rPr>
      </w:pPr>
      <w:r w:rsidRPr="00AB1C80">
        <w:rPr>
          <w:rFonts w:cs="Arial"/>
          <w:color w:val="000000" w:themeColor="text1"/>
          <w:szCs w:val="24"/>
        </w:rPr>
        <w:t xml:space="preserve">En el proceso de recopilación y análisis de información para la construcción de la propuesta de lineamientos técnicos de política de buenas prácticas para estandarizar los procesos de la actividad minera relacionados con gestión y manejo de estériles, se realizó la revisión de </w:t>
      </w:r>
      <w:r w:rsidR="00F02581" w:rsidRPr="00AB1C80">
        <w:rPr>
          <w:rFonts w:cs="Arial"/>
          <w:color w:val="000000" w:themeColor="text1"/>
          <w:szCs w:val="24"/>
        </w:rPr>
        <w:t>treinta</w:t>
      </w:r>
      <w:r w:rsidR="007E3E01" w:rsidRPr="00AB1C80">
        <w:rPr>
          <w:rFonts w:cs="Arial"/>
          <w:color w:val="000000" w:themeColor="text1"/>
          <w:szCs w:val="24"/>
        </w:rPr>
        <w:t xml:space="preserve"> y dos</w:t>
      </w:r>
      <w:r w:rsidRPr="00AB1C80">
        <w:rPr>
          <w:rFonts w:cs="Arial"/>
          <w:color w:val="000000" w:themeColor="text1"/>
          <w:szCs w:val="24"/>
        </w:rPr>
        <w:t xml:space="preserve"> </w:t>
      </w:r>
      <w:r w:rsidRPr="00AB1C80">
        <w:rPr>
          <w:rFonts w:cs="Arial"/>
          <w:b/>
          <w:color w:val="000000" w:themeColor="text1"/>
          <w:szCs w:val="24"/>
        </w:rPr>
        <w:t>(</w:t>
      </w:r>
      <w:r w:rsidR="00F02581" w:rsidRPr="00AB1C80">
        <w:rPr>
          <w:rFonts w:cs="Arial"/>
          <w:b/>
          <w:color w:val="000000" w:themeColor="text1"/>
          <w:szCs w:val="24"/>
        </w:rPr>
        <w:t>3</w:t>
      </w:r>
      <w:r w:rsidR="007E3E01" w:rsidRPr="00AB1C80">
        <w:rPr>
          <w:rFonts w:cs="Arial"/>
          <w:b/>
          <w:color w:val="000000" w:themeColor="text1"/>
          <w:szCs w:val="24"/>
        </w:rPr>
        <w:t>2</w:t>
      </w:r>
      <w:r w:rsidRPr="00AB1C80">
        <w:rPr>
          <w:rFonts w:cs="Arial"/>
          <w:b/>
          <w:color w:val="000000" w:themeColor="text1"/>
          <w:szCs w:val="24"/>
        </w:rPr>
        <w:t>)</w:t>
      </w:r>
      <w:r w:rsidRPr="00AB1C80">
        <w:rPr>
          <w:rFonts w:cs="Arial"/>
          <w:color w:val="000000" w:themeColor="text1"/>
          <w:szCs w:val="24"/>
        </w:rPr>
        <w:t xml:space="preserve"> documentos del contexto </w:t>
      </w:r>
      <w:r w:rsidR="00682E37" w:rsidRPr="00AB1C80">
        <w:rPr>
          <w:rFonts w:cs="Arial"/>
          <w:color w:val="000000" w:themeColor="text1"/>
          <w:szCs w:val="24"/>
        </w:rPr>
        <w:t>inter</w:t>
      </w:r>
      <w:r w:rsidRPr="00AB1C80">
        <w:rPr>
          <w:rFonts w:cs="Arial"/>
          <w:color w:val="000000" w:themeColor="text1"/>
          <w:szCs w:val="24"/>
        </w:rPr>
        <w:t>nacional, publicados entre los años 200</w:t>
      </w:r>
      <w:r w:rsidR="00682E37" w:rsidRPr="00AB1C80">
        <w:rPr>
          <w:rFonts w:cs="Arial"/>
          <w:color w:val="000000" w:themeColor="text1"/>
          <w:szCs w:val="24"/>
        </w:rPr>
        <w:t>0</w:t>
      </w:r>
      <w:r w:rsidRPr="00AB1C80">
        <w:rPr>
          <w:rFonts w:cs="Arial"/>
          <w:color w:val="000000" w:themeColor="text1"/>
          <w:szCs w:val="24"/>
        </w:rPr>
        <w:t xml:space="preserve"> y 202</w:t>
      </w:r>
      <w:r w:rsidR="00682E37" w:rsidRPr="00AB1C80">
        <w:rPr>
          <w:rFonts w:cs="Arial"/>
          <w:color w:val="000000" w:themeColor="text1"/>
          <w:szCs w:val="24"/>
        </w:rPr>
        <w:t>1</w:t>
      </w:r>
      <w:r w:rsidRPr="00AB1C80">
        <w:rPr>
          <w:rFonts w:cs="Arial"/>
          <w:color w:val="000000" w:themeColor="text1"/>
          <w:szCs w:val="24"/>
        </w:rPr>
        <w:t xml:space="preserve"> siendo la mayoría de la última década, estos corresponden a documentos oficiales, guías técnicas, documentos técnicos, estudios normativos, tesis, artículos, presentaciones y otros, generados por instituciones académicas, empresas mineras y el estado colombiano. </w:t>
      </w:r>
    </w:p>
    <w:p w14:paraId="3ADF9183" w14:textId="77777777" w:rsidR="00BC793B" w:rsidRPr="00AB1C80" w:rsidRDefault="00BC793B" w:rsidP="00AB1C80">
      <w:pPr>
        <w:spacing w:line="276" w:lineRule="auto"/>
        <w:rPr>
          <w:rFonts w:cs="Arial"/>
          <w:color w:val="000000" w:themeColor="text1"/>
          <w:szCs w:val="24"/>
        </w:rPr>
      </w:pPr>
    </w:p>
    <w:p w14:paraId="2DDE24E9" w14:textId="056706EE" w:rsidR="00BC793B" w:rsidRPr="00AB1C80" w:rsidRDefault="007D3026" w:rsidP="00AB1C80">
      <w:pPr>
        <w:spacing w:line="276" w:lineRule="auto"/>
        <w:rPr>
          <w:rFonts w:cs="Arial"/>
          <w:color w:val="000000" w:themeColor="text1"/>
          <w:szCs w:val="24"/>
        </w:rPr>
      </w:pPr>
      <w:r w:rsidRPr="00AB1C80">
        <w:rPr>
          <w:rFonts w:cs="Arial"/>
          <w:color w:val="000000" w:themeColor="text1"/>
          <w:szCs w:val="24"/>
        </w:rPr>
        <w:t>En la revisión de estos documentos se buscó identificar el desarrollo de la Economía Circular en el país, haciendo énfasis en los procesos y proyectos desarrollados desde el sector minero en los que se realice el aprovechamiento de los recursos y se minimice la generación de residuos</w:t>
      </w:r>
      <w:r w:rsidR="00BC793B" w:rsidRPr="00AB1C80">
        <w:rPr>
          <w:rFonts w:cs="Arial"/>
          <w:color w:val="000000" w:themeColor="text1"/>
          <w:szCs w:val="24"/>
        </w:rPr>
        <w:t xml:space="preserve">, (ver, </w:t>
      </w:r>
      <w:r w:rsidR="00443CDB" w:rsidRPr="00AB1C80">
        <w:rPr>
          <w:rFonts w:cs="Arial"/>
          <w:b/>
          <w:color w:val="000000" w:themeColor="text1"/>
          <w:szCs w:val="24"/>
        </w:rPr>
        <w:fldChar w:fldCharType="begin"/>
      </w:r>
      <w:r w:rsidR="00443CDB" w:rsidRPr="00AB1C80">
        <w:rPr>
          <w:rFonts w:cs="Arial"/>
          <w:b/>
          <w:color w:val="000000" w:themeColor="text1"/>
          <w:szCs w:val="24"/>
        </w:rPr>
        <w:instrText xml:space="preserve"> REF _Ref86257916 \h  \* MERGEFORMAT </w:instrText>
      </w:r>
      <w:r w:rsidR="00443CDB" w:rsidRPr="00AB1C80">
        <w:rPr>
          <w:rFonts w:cs="Arial"/>
          <w:b/>
          <w:color w:val="000000" w:themeColor="text1"/>
          <w:szCs w:val="24"/>
        </w:rPr>
      </w:r>
      <w:r w:rsidR="00443CDB" w:rsidRPr="00AB1C80">
        <w:rPr>
          <w:rFonts w:cs="Arial"/>
          <w:b/>
          <w:color w:val="000000" w:themeColor="text1"/>
          <w:szCs w:val="24"/>
        </w:rPr>
        <w:fldChar w:fldCharType="separate"/>
      </w:r>
      <w:r w:rsidR="00AB1C80" w:rsidRPr="00AB1C80">
        <w:rPr>
          <w:rFonts w:cs="Arial"/>
          <w:b/>
        </w:rPr>
        <w:t xml:space="preserve">Tabla </w:t>
      </w:r>
      <w:r w:rsidR="00AB1C80" w:rsidRPr="00AB1C80">
        <w:rPr>
          <w:rFonts w:cs="Arial"/>
          <w:b/>
          <w:noProof/>
        </w:rPr>
        <w:t>25</w:t>
      </w:r>
      <w:r w:rsidR="00443CDB" w:rsidRPr="00AB1C80">
        <w:rPr>
          <w:rFonts w:cs="Arial"/>
          <w:b/>
          <w:color w:val="000000" w:themeColor="text1"/>
          <w:szCs w:val="24"/>
        </w:rPr>
        <w:fldChar w:fldCharType="end"/>
      </w:r>
      <w:r w:rsidR="00BC793B" w:rsidRPr="00AB1C80">
        <w:rPr>
          <w:rFonts w:cs="Arial"/>
          <w:color w:val="000000" w:themeColor="text1"/>
          <w:szCs w:val="24"/>
        </w:rPr>
        <w:t>)</w:t>
      </w:r>
    </w:p>
    <w:p w14:paraId="3E3ABBB6" w14:textId="77777777" w:rsidR="00BC793B" w:rsidRPr="00AB1C80" w:rsidRDefault="00BC793B" w:rsidP="00AB1C80">
      <w:pPr>
        <w:spacing w:line="276" w:lineRule="auto"/>
        <w:rPr>
          <w:rFonts w:cs="Arial"/>
          <w:color w:val="000000" w:themeColor="text1"/>
          <w:szCs w:val="24"/>
        </w:rPr>
      </w:pPr>
    </w:p>
    <w:p w14:paraId="6E401061" w14:textId="3A3ABF42" w:rsidR="00BC793B" w:rsidRPr="00AB1C80" w:rsidRDefault="00BC793B" w:rsidP="00AB1C80">
      <w:pPr>
        <w:pStyle w:val="Descripcin"/>
        <w:spacing w:line="276" w:lineRule="auto"/>
        <w:rPr>
          <w:rFonts w:cs="Arial"/>
          <w:lang w:val="es-CO"/>
        </w:rPr>
      </w:pPr>
      <w:bookmarkStart w:id="112" w:name="_Ref86257916"/>
      <w:bookmarkStart w:id="113" w:name="_Toc86333030"/>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25</w:t>
      </w:r>
      <w:r w:rsidRPr="00AB1C80">
        <w:rPr>
          <w:rFonts w:cs="Arial"/>
          <w:lang w:val="es-CO"/>
        </w:rPr>
        <w:fldChar w:fldCharType="end"/>
      </w:r>
      <w:bookmarkEnd w:id="112"/>
      <w:r w:rsidRPr="00AB1C80">
        <w:rPr>
          <w:rFonts w:cs="Arial"/>
          <w:lang w:val="es-CO"/>
        </w:rPr>
        <w:t xml:space="preserve">. Documentos revisados en la temática </w:t>
      </w:r>
      <w:r w:rsidR="00682E37" w:rsidRPr="00AB1C80">
        <w:rPr>
          <w:rFonts w:cs="Arial"/>
          <w:lang w:val="es-CO"/>
        </w:rPr>
        <w:t>internacional</w:t>
      </w:r>
      <w:r w:rsidRPr="00AB1C80">
        <w:rPr>
          <w:rFonts w:cs="Arial"/>
          <w:lang w:val="es-CO"/>
        </w:rPr>
        <w:t xml:space="preserve"> </w:t>
      </w:r>
      <w:r w:rsidR="00443CDB" w:rsidRPr="00AB1C80">
        <w:rPr>
          <w:rFonts w:cs="Arial"/>
          <w:lang w:val="es-CO"/>
        </w:rPr>
        <w:t>economía circular</w:t>
      </w:r>
      <w:r w:rsidRPr="00AB1C80">
        <w:rPr>
          <w:rFonts w:cs="Arial"/>
          <w:lang w:val="es-CO"/>
        </w:rPr>
        <w:t>.</w:t>
      </w:r>
      <w:bookmarkEnd w:id="113"/>
    </w:p>
    <w:tbl>
      <w:tblPr>
        <w:tblW w:w="3569" w:type="dxa"/>
        <w:jc w:val="center"/>
        <w:tblLook w:val="04A0" w:firstRow="1" w:lastRow="0" w:firstColumn="1" w:lastColumn="0" w:noHBand="0" w:noVBand="1"/>
      </w:tblPr>
      <w:tblGrid>
        <w:gridCol w:w="1892"/>
        <w:gridCol w:w="1677"/>
      </w:tblGrid>
      <w:tr w:rsidR="00BC793B" w:rsidRPr="00AB1C80" w14:paraId="17B8C21C" w14:textId="77777777" w:rsidTr="00B555DB">
        <w:trPr>
          <w:trHeight w:val="20"/>
          <w:tblHeader/>
          <w:jc w:val="center"/>
        </w:trPr>
        <w:tc>
          <w:tcPr>
            <w:tcW w:w="1892" w:type="dxa"/>
            <w:tcBorders>
              <w:top w:val="single" w:sz="4" w:space="0" w:color="auto"/>
              <w:left w:val="single" w:sz="4" w:space="0" w:color="auto"/>
              <w:bottom w:val="single" w:sz="4" w:space="0" w:color="auto"/>
              <w:right w:val="single" w:sz="4" w:space="0" w:color="auto"/>
            </w:tcBorders>
            <w:shd w:val="clear" w:color="000000" w:fill="1E345C"/>
            <w:noWrap/>
            <w:vAlign w:val="center"/>
            <w:hideMark/>
          </w:tcPr>
          <w:p w14:paraId="2AC13C38" w14:textId="77777777" w:rsidR="00BC793B" w:rsidRPr="00AB1C80" w:rsidRDefault="00BC793B"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Tipo de Documento</w:t>
            </w:r>
          </w:p>
        </w:tc>
        <w:tc>
          <w:tcPr>
            <w:tcW w:w="1677" w:type="dxa"/>
            <w:tcBorders>
              <w:top w:val="single" w:sz="4" w:space="0" w:color="auto"/>
              <w:left w:val="nil"/>
              <w:bottom w:val="single" w:sz="4" w:space="0" w:color="auto"/>
              <w:right w:val="single" w:sz="4" w:space="0" w:color="auto"/>
            </w:tcBorders>
            <w:shd w:val="clear" w:color="000000" w:fill="1E345C"/>
            <w:noWrap/>
            <w:vAlign w:val="center"/>
            <w:hideMark/>
          </w:tcPr>
          <w:p w14:paraId="5230083C" w14:textId="0D5209AE" w:rsidR="00BC793B" w:rsidRPr="00AB1C80" w:rsidRDefault="00682E37" w:rsidP="00AB1C80">
            <w:pPr>
              <w:spacing w:line="276" w:lineRule="auto"/>
              <w:jc w:val="center"/>
              <w:rPr>
                <w:rFonts w:eastAsia="Times New Roman" w:cs="Arial"/>
                <w:b/>
                <w:bCs/>
                <w:color w:val="FFFFFF"/>
                <w:sz w:val="18"/>
                <w:szCs w:val="18"/>
              </w:rPr>
            </w:pPr>
            <w:r w:rsidRPr="00AB1C80">
              <w:rPr>
                <w:rFonts w:eastAsia="Times New Roman" w:cs="Arial"/>
                <w:b/>
                <w:bCs/>
                <w:color w:val="FFFFFF"/>
                <w:sz w:val="18"/>
                <w:szCs w:val="18"/>
              </w:rPr>
              <w:t>Intern</w:t>
            </w:r>
            <w:r w:rsidR="00BC793B" w:rsidRPr="00AB1C80">
              <w:rPr>
                <w:rFonts w:eastAsia="Times New Roman" w:cs="Arial"/>
                <w:b/>
                <w:bCs/>
                <w:color w:val="FFFFFF"/>
                <w:sz w:val="18"/>
                <w:szCs w:val="18"/>
              </w:rPr>
              <w:t>acional</w:t>
            </w:r>
          </w:p>
        </w:tc>
      </w:tr>
      <w:tr w:rsidR="00BC793B" w:rsidRPr="00AB1C80" w14:paraId="26AFA87A"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25FB7D9F"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Oficial</w:t>
            </w:r>
          </w:p>
        </w:tc>
        <w:tc>
          <w:tcPr>
            <w:tcW w:w="1677" w:type="dxa"/>
            <w:tcBorders>
              <w:top w:val="nil"/>
              <w:left w:val="nil"/>
              <w:bottom w:val="single" w:sz="4" w:space="0" w:color="auto"/>
              <w:right w:val="single" w:sz="4" w:space="0" w:color="auto"/>
            </w:tcBorders>
            <w:shd w:val="clear" w:color="auto" w:fill="auto"/>
            <w:noWrap/>
            <w:vAlign w:val="center"/>
          </w:tcPr>
          <w:p w14:paraId="3C0F013F" w14:textId="351B5CE0"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69EDF442"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3BDF1AF3"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Guía Técnica</w:t>
            </w:r>
          </w:p>
        </w:tc>
        <w:tc>
          <w:tcPr>
            <w:tcW w:w="1677" w:type="dxa"/>
            <w:tcBorders>
              <w:top w:val="nil"/>
              <w:left w:val="nil"/>
              <w:bottom w:val="single" w:sz="4" w:space="0" w:color="auto"/>
              <w:right w:val="single" w:sz="4" w:space="0" w:color="auto"/>
            </w:tcBorders>
            <w:shd w:val="clear" w:color="auto" w:fill="auto"/>
            <w:noWrap/>
            <w:vAlign w:val="center"/>
          </w:tcPr>
          <w:p w14:paraId="7919B2D1" w14:textId="75C6D5A3"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2</w:t>
            </w:r>
          </w:p>
        </w:tc>
      </w:tr>
      <w:tr w:rsidR="00BC793B" w:rsidRPr="00AB1C80" w14:paraId="323FDEBD"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68C07D63"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Documento Técnico</w:t>
            </w:r>
          </w:p>
        </w:tc>
        <w:tc>
          <w:tcPr>
            <w:tcW w:w="1677" w:type="dxa"/>
            <w:tcBorders>
              <w:top w:val="nil"/>
              <w:left w:val="nil"/>
              <w:bottom w:val="single" w:sz="4" w:space="0" w:color="auto"/>
              <w:right w:val="single" w:sz="4" w:space="0" w:color="auto"/>
            </w:tcBorders>
            <w:shd w:val="clear" w:color="auto" w:fill="auto"/>
            <w:noWrap/>
            <w:vAlign w:val="center"/>
          </w:tcPr>
          <w:p w14:paraId="3B973102" w14:textId="55B5E2BE"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3F5A2D10"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5750B74D"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Estudio Normativo</w:t>
            </w:r>
          </w:p>
        </w:tc>
        <w:tc>
          <w:tcPr>
            <w:tcW w:w="1677" w:type="dxa"/>
            <w:tcBorders>
              <w:top w:val="nil"/>
              <w:left w:val="nil"/>
              <w:bottom w:val="single" w:sz="4" w:space="0" w:color="auto"/>
              <w:right w:val="single" w:sz="4" w:space="0" w:color="auto"/>
            </w:tcBorders>
            <w:shd w:val="clear" w:color="auto" w:fill="auto"/>
            <w:noWrap/>
            <w:vAlign w:val="center"/>
          </w:tcPr>
          <w:p w14:paraId="4E94D91E" w14:textId="3DC86A17"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w:t>
            </w:r>
          </w:p>
        </w:tc>
      </w:tr>
      <w:tr w:rsidR="00BC793B" w:rsidRPr="00AB1C80" w14:paraId="77C3F677"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017F9E80"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Tesis</w:t>
            </w:r>
          </w:p>
        </w:tc>
        <w:tc>
          <w:tcPr>
            <w:tcW w:w="1677" w:type="dxa"/>
            <w:tcBorders>
              <w:top w:val="nil"/>
              <w:left w:val="nil"/>
              <w:bottom w:val="single" w:sz="4" w:space="0" w:color="auto"/>
              <w:right w:val="single" w:sz="4" w:space="0" w:color="auto"/>
            </w:tcBorders>
            <w:shd w:val="clear" w:color="auto" w:fill="auto"/>
            <w:noWrap/>
            <w:vAlign w:val="center"/>
          </w:tcPr>
          <w:p w14:paraId="17F04641" w14:textId="2C47B34A"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4</w:t>
            </w:r>
          </w:p>
        </w:tc>
      </w:tr>
      <w:tr w:rsidR="00BC793B" w:rsidRPr="00AB1C80" w14:paraId="4B7B3C77"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33D32A2E"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Artículo</w:t>
            </w:r>
          </w:p>
        </w:tc>
        <w:tc>
          <w:tcPr>
            <w:tcW w:w="1677" w:type="dxa"/>
            <w:tcBorders>
              <w:top w:val="nil"/>
              <w:left w:val="nil"/>
              <w:bottom w:val="single" w:sz="4" w:space="0" w:color="auto"/>
              <w:right w:val="single" w:sz="4" w:space="0" w:color="auto"/>
            </w:tcBorders>
            <w:shd w:val="clear" w:color="auto" w:fill="auto"/>
            <w:noWrap/>
            <w:vAlign w:val="center"/>
          </w:tcPr>
          <w:p w14:paraId="4705FB01" w14:textId="2355FEC4"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14</w:t>
            </w:r>
          </w:p>
        </w:tc>
      </w:tr>
      <w:tr w:rsidR="00BC793B" w:rsidRPr="00AB1C80" w14:paraId="2C153B82"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51CB78AC"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Presentación</w:t>
            </w:r>
          </w:p>
        </w:tc>
        <w:tc>
          <w:tcPr>
            <w:tcW w:w="1677" w:type="dxa"/>
            <w:tcBorders>
              <w:top w:val="nil"/>
              <w:left w:val="nil"/>
              <w:bottom w:val="single" w:sz="4" w:space="0" w:color="auto"/>
              <w:right w:val="single" w:sz="4" w:space="0" w:color="auto"/>
            </w:tcBorders>
            <w:shd w:val="clear" w:color="auto" w:fill="auto"/>
            <w:noWrap/>
            <w:vAlign w:val="center"/>
          </w:tcPr>
          <w:p w14:paraId="05E1375A" w14:textId="3519726E" w:rsidR="00BC793B" w:rsidRPr="00AB1C80" w:rsidRDefault="0093667F"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w:t>
            </w:r>
          </w:p>
        </w:tc>
      </w:tr>
      <w:tr w:rsidR="00BC793B" w:rsidRPr="00AB1C80" w14:paraId="3091BFAA" w14:textId="77777777" w:rsidTr="00B555DB">
        <w:trPr>
          <w:trHeight w:val="20"/>
          <w:jc w:val="center"/>
        </w:trPr>
        <w:tc>
          <w:tcPr>
            <w:tcW w:w="1892" w:type="dxa"/>
            <w:tcBorders>
              <w:top w:val="nil"/>
              <w:left w:val="single" w:sz="4" w:space="0" w:color="auto"/>
              <w:bottom w:val="single" w:sz="4" w:space="0" w:color="auto"/>
              <w:right w:val="single" w:sz="4" w:space="0" w:color="auto"/>
            </w:tcBorders>
            <w:shd w:val="clear" w:color="auto" w:fill="auto"/>
            <w:noWrap/>
            <w:vAlign w:val="center"/>
            <w:hideMark/>
          </w:tcPr>
          <w:p w14:paraId="4598AC77" w14:textId="77777777" w:rsidR="00BC793B" w:rsidRPr="00AB1C80" w:rsidRDefault="00BC793B"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Otros Documentos</w:t>
            </w:r>
          </w:p>
        </w:tc>
        <w:tc>
          <w:tcPr>
            <w:tcW w:w="1677" w:type="dxa"/>
            <w:tcBorders>
              <w:top w:val="nil"/>
              <w:left w:val="nil"/>
              <w:bottom w:val="single" w:sz="4" w:space="0" w:color="auto"/>
              <w:right w:val="single" w:sz="4" w:space="0" w:color="auto"/>
            </w:tcBorders>
            <w:shd w:val="clear" w:color="auto" w:fill="auto"/>
            <w:noWrap/>
            <w:vAlign w:val="center"/>
          </w:tcPr>
          <w:p w14:paraId="0D1D1A97" w14:textId="08A90846" w:rsidR="00BC793B" w:rsidRPr="00AB1C80" w:rsidRDefault="007E3E01" w:rsidP="00AB1C80">
            <w:pPr>
              <w:spacing w:line="276" w:lineRule="auto"/>
              <w:jc w:val="center"/>
              <w:rPr>
                <w:rFonts w:eastAsia="Times New Roman" w:cs="Arial"/>
                <w:color w:val="000000"/>
                <w:sz w:val="18"/>
                <w:szCs w:val="18"/>
              </w:rPr>
            </w:pPr>
            <w:r w:rsidRPr="00AB1C80">
              <w:rPr>
                <w:rFonts w:eastAsia="Times New Roman" w:cs="Arial"/>
                <w:color w:val="000000"/>
                <w:sz w:val="18"/>
                <w:szCs w:val="18"/>
              </w:rPr>
              <w:t>10</w:t>
            </w:r>
          </w:p>
        </w:tc>
      </w:tr>
    </w:tbl>
    <w:p w14:paraId="6272A80F" w14:textId="77777777" w:rsidR="00BC793B" w:rsidRPr="00AB1C80" w:rsidRDefault="00BC793B" w:rsidP="00AB1C80">
      <w:pPr>
        <w:pStyle w:val="Fuente"/>
        <w:spacing w:line="276" w:lineRule="auto"/>
        <w:rPr>
          <w:rFonts w:cs="Arial"/>
          <w:lang w:val="es-CO"/>
        </w:rPr>
      </w:pPr>
      <w:r w:rsidRPr="00AB1C80">
        <w:rPr>
          <w:rFonts w:cs="Arial"/>
          <w:lang w:val="es-CO"/>
        </w:rPr>
        <w:t>Fuente: ATG Ltda., 2021.</w:t>
      </w:r>
    </w:p>
    <w:p w14:paraId="63A63657" w14:textId="77777777" w:rsidR="00BC793B" w:rsidRPr="00AB1C80" w:rsidRDefault="00BC793B" w:rsidP="00AB1C80">
      <w:pPr>
        <w:spacing w:line="276" w:lineRule="auto"/>
        <w:rPr>
          <w:rFonts w:cs="Arial"/>
          <w:color w:val="000000" w:themeColor="text1"/>
          <w:szCs w:val="24"/>
        </w:rPr>
      </w:pPr>
    </w:p>
    <w:p w14:paraId="137E14A3" w14:textId="7BF9256C" w:rsidR="00BC793B" w:rsidRPr="00AB1C80" w:rsidRDefault="00BC793B" w:rsidP="00AB1C80">
      <w:pPr>
        <w:spacing w:line="276" w:lineRule="auto"/>
        <w:rPr>
          <w:rFonts w:cs="Arial"/>
          <w:color w:val="000000" w:themeColor="text1"/>
          <w:szCs w:val="24"/>
        </w:rPr>
      </w:pPr>
      <w:r w:rsidRPr="00AB1C80">
        <w:rPr>
          <w:rFonts w:cs="Arial"/>
          <w:color w:val="000000" w:themeColor="text1"/>
          <w:szCs w:val="24"/>
        </w:rPr>
        <w:t>A continuación, en la</w:t>
      </w:r>
      <w:r w:rsidR="00443CDB" w:rsidRPr="00AB1C80">
        <w:rPr>
          <w:rFonts w:cs="Arial"/>
          <w:color w:val="000000" w:themeColor="text1"/>
          <w:szCs w:val="24"/>
        </w:rPr>
        <w:t xml:space="preserve">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_Ref86257917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26</w:t>
      </w:r>
      <w:r w:rsidR="00443CDB" w:rsidRPr="00AB1C80">
        <w:rPr>
          <w:rFonts w:cs="Arial"/>
          <w:b/>
          <w:bCs/>
          <w:color w:val="000000" w:themeColor="text1"/>
          <w:szCs w:val="24"/>
        </w:rPr>
        <w:fldChar w:fldCharType="end"/>
      </w:r>
      <w:r w:rsidR="00443CDB" w:rsidRPr="00AB1C80">
        <w:rPr>
          <w:rFonts w:cs="Arial"/>
          <w:b/>
          <w:bCs/>
          <w:color w:val="000000" w:themeColor="text1"/>
          <w:szCs w:val="24"/>
        </w:rPr>
        <w:t xml:space="preserve">,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_Ref86257918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27</w:t>
      </w:r>
      <w:r w:rsidR="00443CDB" w:rsidRPr="00AB1C80">
        <w:rPr>
          <w:rFonts w:cs="Arial"/>
          <w:b/>
          <w:bCs/>
          <w:color w:val="000000" w:themeColor="text1"/>
          <w:szCs w:val="24"/>
        </w:rPr>
        <w:fldChar w:fldCharType="end"/>
      </w:r>
      <w:r w:rsidR="00443CDB" w:rsidRPr="00AB1C80">
        <w:rPr>
          <w:rFonts w:cs="Arial"/>
          <w:b/>
          <w:bCs/>
          <w:color w:val="000000" w:themeColor="text1"/>
          <w:szCs w:val="24"/>
        </w:rPr>
        <w:t xml:space="preserve">,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_Ref86257920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28</w:t>
      </w:r>
      <w:r w:rsidR="00443CDB" w:rsidRPr="00AB1C80">
        <w:rPr>
          <w:rFonts w:cs="Arial"/>
          <w:b/>
          <w:bCs/>
          <w:color w:val="000000" w:themeColor="text1"/>
          <w:szCs w:val="24"/>
        </w:rPr>
        <w:fldChar w:fldCharType="end"/>
      </w:r>
      <w:r w:rsidR="00443CDB" w:rsidRPr="00AB1C80">
        <w:rPr>
          <w:rFonts w:cs="Arial"/>
          <w:b/>
          <w:bCs/>
          <w:color w:val="000000" w:themeColor="text1"/>
          <w:szCs w:val="24"/>
        </w:rPr>
        <w:t xml:space="preserve">,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_Ref86257922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29</w:t>
      </w:r>
      <w:r w:rsidR="00443CDB" w:rsidRPr="00AB1C80">
        <w:rPr>
          <w:rFonts w:cs="Arial"/>
          <w:b/>
          <w:bCs/>
          <w:color w:val="000000" w:themeColor="text1"/>
          <w:szCs w:val="24"/>
        </w:rPr>
        <w:fldChar w:fldCharType="end"/>
      </w:r>
      <w:r w:rsidR="00443CDB" w:rsidRPr="00AB1C80">
        <w:rPr>
          <w:rFonts w:cs="Arial"/>
          <w:b/>
          <w:bCs/>
          <w:color w:val="000000" w:themeColor="text1"/>
          <w:szCs w:val="24"/>
        </w:rPr>
        <w:t xml:space="preserve">,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_Ref86257924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30</w:t>
      </w:r>
      <w:r w:rsidR="00443CDB" w:rsidRPr="00AB1C80">
        <w:rPr>
          <w:rFonts w:cs="Arial"/>
          <w:b/>
          <w:bCs/>
          <w:color w:val="000000" w:themeColor="text1"/>
          <w:szCs w:val="24"/>
        </w:rPr>
        <w:fldChar w:fldCharType="end"/>
      </w:r>
      <w:r w:rsidR="00443CDB" w:rsidRPr="00AB1C80">
        <w:rPr>
          <w:rFonts w:cs="Arial"/>
          <w:b/>
          <w:bCs/>
          <w:color w:val="000000" w:themeColor="text1"/>
          <w:szCs w:val="24"/>
        </w:rPr>
        <w:t xml:space="preserve"> </w:t>
      </w:r>
      <w:r w:rsidR="00443CDB" w:rsidRPr="00AB1C80">
        <w:rPr>
          <w:rFonts w:cs="Arial"/>
          <w:color w:val="000000" w:themeColor="text1"/>
          <w:szCs w:val="24"/>
        </w:rPr>
        <w:t xml:space="preserve">y </w:t>
      </w:r>
      <w:r w:rsidR="00443CDB" w:rsidRPr="00AB1C80">
        <w:rPr>
          <w:rFonts w:cs="Arial"/>
          <w:b/>
          <w:bCs/>
          <w:color w:val="000000" w:themeColor="text1"/>
          <w:szCs w:val="24"/>
        </w:rPr>
        <w:fldChar w:fldCharType="begin"/>
      </w:r>
      <w:r w:rsidR="00443CDB" w:rsidRPr="00AB1C80">
        <w:rPr>
          <w:rFonts w:cs="Arial"/>
          <w:b/>
          <w:bCs/>
          <w:color w:val="000000" w:themeColor="text1"/>
          <w:szCs w:val="24"/>
        </w:rPr>
        <w:instrText xml:space="preserve"> REF _Ref86257926 \h  \* MERGEFORMAT </w:instrText>
      </w:r>
      <w:r w:rsidR="00443CDB" w:rsidRPr="00AB1C80">
        <w:rPr>
          <w:rFonts w:cs="Arial"/>
          <w:b/>
          <w:bCs/>
          <w:color w:val="000000" w:themeColor="text1"/>
          <w:szCs w:val="24"/>
        </w:rPr>
      </w:r>
      <w:r w:rsidR="00443CDB" w:rsidRPr="00AB1C80">
        <w:rPr>
          <w:rFonts w:cs="Arial"/>
          <w:b/>
          <w:bCs/>
          <w:color w:val="000000" w:themeColor="text1"/>
          <w:szCs w:val="24"/>
        </w:rPr>
        <w:fldChar w:fldCharType="separate"/>
      </w:r>
      <w:r w:rsidR="00AB1C80" w:rsidRPr="00AB1C80">
        <w:rPr>
          <w:rFonts w:cs="Arial"/>
          <w:b/>
          <w:bCs/>
        </w:rPr>
        <w:t xml:space="preserve">Tabla </w:t>
      </w:r>
      <w:r w:rsidR="00AB1C80" w:rsidRPr="00AB1C80">
        <w:rPr>
          <w:rFonts w:cs="Arial"/>
          <w:b/>
          <w:bCs/>
          <w:noProof/>
        </w:rPr>
        <w:t>31</w:t>
      </w:r>
      <w:r w:rsidR="00443CDB" w:rsidRPr="00AB1C80">
        <w:rPr>
          <w:rFonts w:cs="Arial"/>
          <w:b/>
          <w:bCs/>
          <w:color w:val="000000" w:themeColor="text1"/>
          <w:szCs w:val="24"/>
        </w:rPr>
        <w:fldChar w:fldCharType="end"/>
      </w:r>
      <w:r w:rsidRPr="00AB1C80">
        <w:rPr>
          <w:rFonts w:cs="Arial"/>
          <w:b/>
          <w:color w:val="000000" w:themeColor="text1"/>
          <w:szCs w:val="24"/>
        </w:rPr>
        <w:t>,</w:t>
      </w:r>
      <w:r w:rsidRPr="00AB1C80">
        <w:rPr>
          <w:rFonts w:cs="Arial"/>
          <w:color w:val="000000" w:themeColor="text1"/>
          <w:szCs w:val="24"/>
        </w:rPr>
        <w:t xml:space="preserve"> </w:t>
      </w:r>
      <w:r w:rsidR="00FD7604" w:rsidRPr="00AB1C80">
        <w:rPr>
          <w:rFonts w:cs="Arial"/>
          <w:color w:val="000000" w:themeColor="text1"/>
          <w:szCs w:val="24"/>
        </w:rPr>
        <w:t xml:space="preserve">se presenta la revisión de información nacional respecto a gestión y manejo de los estériles, en forma de análisis, critica e interpretación de cada documento, en las tablas se encuentra de manera reducida la información, ya que en el </w:t>
      </w:r>
      <w:r w:rsidR="00FD7604" w:rsidRPr="00AB1C80">
        <w:rPr>
          <w:rFonts w:cs="Arial"/>
          <w:b/>
          <w:bCs/>
          <w:color w:val="000000" w:themeColor="text1"/>
          <w:szCs w:val="24"/>
        </w:rPr>
        <w:t>Anexo 1</w:t>
      </w:r>
      <w:r w:rsidR="00FD7604" w:rsidRPr="00AB1C80">
        <w:rPr>
          <w:rFonts w:cs="Arial"/>
          <w:color w:val="000000" w:themeColor="text1"/>
          <w:szCs w:val="24"/>
        </w:rPr>
        <w:t xml:space="preserve"> se encuentra cada documento con información amplia y detallada de la interpretación realizada.</w:t>
      </w:r>
    </w:p>
    <w:p w14:paraId="0F35901C" w14:textId="77777777" w:rsidR="00BC793B" w:rsidRPr="00AB1C80" w:rsidRDefault="00BC793B" w:rsidP="00AB1C80">
      <w:pPr>
        <w:spacing w:line="276" w:lineRule="auto"/>
        <w:rPr>
          <w:rFonts w:cs="Arial"/>
          <w:color w:val="000000" w:themeColor="text1"/>
          <w:szCs w:val="24"/>
        </w:rPr>
      </w:pPr>
    </w:p>
    <w:p w14:paraId="1BC3D0A6" w14:textId="77777777" w:rsidR="00DE2BF8" w:rsidRPr="00AB1C80" w:rsidRDefault="00DE2BF8" w:rsidP="00AB1C80">
      <w:pPr>
        <w:pStyle w:val="Ttulo4"/>
        <w:spacing w:line="276" w:lineRule="auto"/>
        <w:rPr>
          <w:rFonts w:ascii="Arial" w:hAnsi="Arial"/>
        </w:rPr>
      </w:pPr>
      <w:bookmarkStart w:id="114" w:name="_Toc86332935"/>
      <w:r w:rsidRPr="00AB1C80">
        <w:rPr>
          <w:rFonts w:ascii="Arial" w:hAnsi="Arial"/>
        </w:rPr>
        <w:t>Documentación recopilada</w:t>
      </w:r>
      <w:bookmarkEnd w:id="114"/>
    </w:p>
    <w:p w14:paraId="472C7426" w14:textId="77777777" w:rsidR="00443CDB" w:rsidRPr="00AB1C80" w:rsidRDefault="00443CDB" w:rsidP="00AB1C80">
      <w:pPr>
        <w:spacing w:line="276" w:lineRule="auto"/>
        <w:rPr>
          <w:rFonts w:cs="Arial"/>
          <w:color w:val="000000" w:themeColor="text1"/>
        </w:rPr>
        <w:sectPr w:rsidR="00443CDB" w:rsidRPr="00AB1C80" w:rsidSect="007402D4">
          <w:pgSz w:w="12240" w:h="15840"/>
          <w:pgMar w:top="1418" w:right="1701" w:bottom="1418" w:left="1701" w:header="709" w:footer="709" w:gutter="0"/>
          <w:cols w:space="708"/>
          <w:docGrid w:linePitch="360"/>
        </w:sectPr>
      </w:pPr>
    </w:p>
    <w:p w14:paraId="7FE2B11C" w14:textId="5FBAAE70" w:rsidR="00443CDB" w:rsidRPr="00AB1C80" w:rsidRDefault="00443CDB" w:rsidP="00AB1C80">
      <w:pPr>
        <w:pStyle w:val="Descripcin"/>
        <w:spacing w:line="276" w:lineRule="auto"/>
        <w:rPr>
          <w:rFonts w:cs="Arial"/>
          <w:lang w:val="es-CO"/>
        </w:rPr>
      </w:pPr>
      <w:bookmarkStart w:id="115" w:name="_Ref86257917"/>
      <w:bookmarkStart w:id="116" w:name="_Toc86333031"/>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26</w:t>
      </w:r>
      <w:r w:rsidRPr="00AB1C80">
        <w:rPr>
          <w:rFonts w:cs="Arial"/>
          <w:lang w:val="es-CO"/>
        </w:rPr>
        <w:fldChar w:fldCharType="end"/>
      </w:r>
      <w:bookmarkEnd w:id="115"/>
      <w:r w:rsidRPr="00AB1C80">
        <w:rPr>
          <w:rFonts w:cs="Arial"/>
          <w:lang w:val="es-CO"/>
        </w:rPr>
        <w:t>. Revisión de información internacional por artículos para economía circular.</w:t>
      </w:r>
      <w:bookmarkEnd w:id="116"/>
    </w:p>
    <w:tbl>
      <w:tblPr>
        <w:tblW w:w="14175" w:type="dxa"/>
        <w:tblInd w:w="-572" w:type="dxa"/>
        <w:tblCellMar>
          <w:left w:w="0" w:type="dxa"/>
          <w:right w:w="0" w:type="dxa"/>
        </w:tblCellMar>
        <w:tblLook w:val="04A0" w:firstRow="1" w:lastRow="0" w:firstColumn="1" w:lastColumn="0" w:noHBand="0" w:noVBand="1"/>
      </w:tblPr>
      <w:tblGrid>
        <w:gridCol w:w="1275"/>
        <w:gridCol w:w="2473"/>
        <w:gridCol w:w="1494"/>
        <w:gridCol w:w="1153"/>
        <w:gridCol w:w="7780"/>
      </w:tblGrid>
      <w:tr w:rsidR="00644F0F" w:rsidRPr="00AB1C80" w14:paraId="3C9F5C55" w14:textId="77777777" w:rsidTr="00644F0F">
        <w:trPr>
          <w:trHeight w:val="341"/>
          <w:tblHeader/>
        </w:trPr>
        <w:tc>
          <w:tcPr>
            <w:tcW w:w="1275"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2A064E86" w14:textId="77777777" w:rsidR="00644F0F" w:rsidRPr="00AB1C80" w:rsidRDefault="00644F0F"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47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4EFF3DA0" w14:textId="77777777" w:rsidR="00644F0F" w:rsidRPr="00AB1C80" w:rsidRDefault="00644F0F"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494"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30EBFFE3" w14:textId="77777777" w:rsidR="00644F0F" w:rsidRPr="00AB1C80" w:rsidRDefault="00644F0F"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134"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68C47C5B" w14:textId="77777777" w:rsidR="00644F0F" w:rsidRPr="00AB1C80" w:rsidRDefault="00644F0F"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9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54E3A78B" w14:textId="77777777" w:rsidR="00644F0F" w:rsidRPr="00AB1C80" w:rsidRDefault="00644F0F"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644F0F" w:rsidRPr="00AB1C80" w14:paraId="3CE4A7D3"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A604BE"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Alemania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10BB07"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Evaluación Crítica de la Norma de Economía Circular BS 8001: 2017 y una Tablero de Indicadores Cuantitativos del Sistema para su Implementación en Organizaciones</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0E3B264"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Universidad de Freiburg - Facultad de Ingeniería y Recursos Naturales</w:t>
            </w:r>
          </w:p>
        </w:tc>
        <w:tc>
          <w:tcPr>
            <w:tcW w:w="1134"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3F7EAC"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2018</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0804E7B" w14:textId="054FA977" w:rsidR="00644F0F" w:rsidRPr="00AB1C80" w:rsidRDefault="00644F0F" w:rsidP="00533937">
            <w:pPr>
              <w:spacing w:line="276" w:lineRule="auto"/>
              <w:rPr>
                <w:rFonts w:cs="Arial"/>
                <w:sz w:val="20"/>
                <w:szCs w:val="20"/>
              </w:rPr>
            </w:pPr>
            <w:r w:rsidRPr="00AB1C80">
              <w:rPr>
                <w:rFonts w:cs="Arial"/>
                <w:sz w:val="20"/>
                <w:szCs w:val="20"/>
              </w:rPr>
              <w:t>Se resalta el conjunto de principios generales de CE, que es un marco de gestión para la implementación de estrategias de CE en las organizaciones.</w:t>
            </w:r>
            <w:r w:rsidRPr="00AB1C80">
              <w:rPr>
                <w:rFonts w:cs="Arial"/>
                <w:sz w:val="20"/>
                <w:szCs w:val="20"/>
              </w:rPr>
              <w:br/>
              <w:t>El marco CE es una combinación y aceleración de estrategias desarrolladas y probadas bajo diferentes enfoques de sistemas existentes.</w:t>
            </w:r>
          </w:p>
          <w:p w14:paraId="4574BA48" w14:textId="2A1B3300" w:rsidR="00644F0F" w:rsidRPr="00AB1C80" w:rsidRDefault="00644F0F" w:rsidP="00533937">
            <w:pPr>
              <w:spacing w:line="276" w:lineRule="auto"/>
              <w:rPr>
                <w:rFonts w:cs="Arial"/>
                <w:sz w:val="20"/>
                <w:szCs w:val="20"/>
              </w:rPr>
            </w:pPr>
            <w:r w:rsidRPr="00AB1C80">
              <w:rPr>
                <w:rFonts w:cs="Arial"/>
                <w:sz w:val="20"/>
                <w:szCs w:val="20"/>
              </w:rPr>
              <w:br/>
              <w:t>Han existido estándares relacionados con áreas específicas de residuos, prevención y gestión de recursos, pero no se habían establecido estándares formales definidos o enfocados completamente en la economía circular, que es lo que intenta este documento.</w:t>
            </w:r>
          </w:p>
          <w:p w14:paraId="60EB45E1" w14:textId="7FA0589F" w:rsidR="00644F0F" w:rsidRPr="00AB1C80" w:rsidRDefault="00644F0F" w:rsidP="00533937">
            <w:pPr>
              <w:spacing w:line="276" w:lineRule="auto"/>
              <w:rPr>
                <w:rFonts w:cs="Arial"/>
                <w:sz w:val="20"/>
                <w:szCs w:val="20"/>
              </w:rPr>
            </w:pPr>
            <w:r w:rsidRPr="00AB1C80">
              <w:rPr>
                <w:rFonts w:cs="Arial"/>
                <w:sz w:val="20"/>
                <w:szCs w:val="20"/>
              </w:rPr>
              <w:br/>
              <w:t>Ilustra sobre el establecimiento de indicadores, que es una buena referencia para instituciones y empresas.</w:t>
            </w:r>
          </w:p>
        </w:tc>
      </w:tr>
      <w:tr w:rsidR="00644F0F" w:rsidRPr="00AB1C80" w14:paraId="70D29361"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B071063"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Brasil</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90C6B6C"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Sostenibilidad en la Industria de los Minerales: Buscando un Consenso sobre su Significado</w:t>
            </w:r>
          </w:p>
        </w:tc>
        <w:tc>
          <w:tcPr>
            <w:tcW w:w="1494"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81F6AE"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 xml:space="preserve">Sustainability </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0E1795C"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2018</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4F9738D" w14:textId="77777777" w:rsidR="00644F0F" w:rsidRPr="00AB1C80" w:rsidRDefault="00644F0F" w:rsidP="00533937">
            <w:pPr>
              <w:spacing w:line="276" w:lineRule="auto"/>
              <w:rPr>
                <w:rFonts w:cs="Arial"/>
                <w:sz w:val="20"/>
                <w:szCs w:val="20"/>
              </w:rPr>
            </w:pPr>
            <w:r w:rsidRPr="00AB1C80">
              <w:rPr>
                <w:rFonts w:cs="Arial"/>
                <w:sz w:val="20"/>
                <w:szCs w:val="20"/>
              </w:rPr>
              <w:t xml:space="preserve">La industria juega un papel fundamental en el contexto de la sostenibilidad, habiendo recibido atención a través de diversas iniciativas durante las últimas décadas. Sin embargo, varios de ellos han sido cuestionados en la práctica. De hecho, un consenso sobre las implicaciones de la sostenibilidad en la industria de los minerales aún no se ha alcanzado. </w:t>
            </w:r>
            <w:r w:rsidRPr="00AB1C80">
              <w:rPr>
                <w:rFonts w:cs="Arial"/>
                <w:sz w:val="20"/>
                <w:szCs w:val="20"/>
              </w:rPr>
              <w:br/>
            </w:r>
            <w:r w:rsidRPr="00AB1C80">
              <w:rPr>
                <w:rFonts w:cs="Arial"/>
                <w:sz w:val="20"/>
                <w:szCs w:val="20"/>
              </w:rPr>
              <w:br/>
              <w:t>Se han sugerido varios marcos desde la década de 1990 para analizar la sostenibilidad desde la perspectiva de la industria de los minerales. Estos han sido propuestos por varios grupos que representan diferentes proyectos e iniciativas.</w:t>
            </w:r>
            <w:r w:rsidRPr="00AB1C80">
              <w:rPr>
                <w:rFonts w:cs="Arial"/>
                <w:sz w:val="20"/>
                <w:szCs w:val="20"/>
              </w:rPr>
              <w:br/>
              <w:t xml:space="preserve"> </w:t>
            </w:r>
            <w:r w:rsidRPr="00AB1C80">
              <w:rPr>
                <w:rFonts w:cs="Arial"/>
                <w:sz w:val="20"/>
                <w:szCs w:val="20"/>
              </w:rPr>
              <w:br/>
              <w:t>El presente trabajo tiene como objetivo profundizar la discusión sobre cómo el sector minero puede mejorar su sostenibilidad, para ello se exponen aspectos importantes, que permiten tener una visión general sobre la cuestión de la sostenibilidad en el contexto de la industria de los minerales.</w:t>
            </w:r>
          </w:p>
        </w:tc>
      </w:tr>
      <w:tr w:rsidR="00644F0F" w:rsidRPr="00AB1C80" w14:paraId="7F8632F2"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96CE20E"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China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12909A1"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 xml:space="preserve">Conferencia Internacional sobre Energía, Medio </w:t>
            </w:r>
            <w:r w:rsidRPr="00AB1C80">
              <w:rPr>
                <w:rFonts w:cs="Arial"/>
                <w:color w:val="000000"/>
                <w:sz w:val="20"/>
                <w:szCs w:val="20"/>
              </w:rPr>
              <w:lastRenderedPageBreak/>
              <w:t>Ambiente y Materiales del Futuro</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E633775"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lastRenderedPageBreak/>
              <w:t>Energi Procedia</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F5378C5"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2012</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18635FF" w14:textId="64D22BB6" w:rsidR="00644F0F" w:rsidRPr="00AB1C80" w:rsidRDefault="00644F0F" w:rsidP="00AB1C80">
            <w:pPr>
              <w:pStyle w:val="Prrafodelista"/>
              <w:numPr>
                <w:ilvl w:val="0"/>
                <w:numId w:val="44"/>
              </w:numPr>
              <w:spacing w:line="276" w:lineRule="auto"/>
              <w:jc w:val="center"/>
              <w:rPr>
                <w:rFonts w:cs="Arial"/>
                <w:sz w:val="20"/>
                <w:szCs w:val="20"/>
              </w:rPr>
            </w:pPr>
            <w:r w:rsidRPr="00AB1C80">
              <w:rPr>
                <w:rFonts w:cs="Arial"/>
                <w:sz w:val="20"/>
                <w:szCs w:val="20"/>
              </w:rPr>
              <w:t>La economía circular es en esencia una economía ecológica, que busca una “Producción óptima, consumo óptimo y desperdicio mínimo”.</w:t>
            </w:r>
            <w:r w:rsidRPr="00AB1C80">
              <w:rPr>
                <w:rFonts w:cs="Arial"/>
                <w:sz w:val="20"/>
                <w:szCs w:val="20"/>
              </w:rPr>
              <w:br/>
            </w:r>
            <w:r w:rsidRPr="00AB1C80">
              <w:rPr>
                <w:rFonts w:cs="Arial"/>
                <w:sz w:val="20"/>
                <w:szCs w:val="20"/>
              </w:rPr>
              <w:br/>
            </w:r>
            <w:r w:rsidRPr="00AB1C80">
              <w:rPr>
                <w:rFonts w:cs="Arial"/>
                <w:sz w:val="20"/>
                <w:szCs w:val="20"/>
              </w:rPr>
              <w:lastRenderedPageBreak/>
              <w:t>2. La economía minera tradicional es de tipo lineal y se basa en el uso de recursos minerales bajo el siguiente modelo:</w:t>
            </w:r>
            <w:r w:rsidRPr="00AB1C80">
              <w:rPr>
                <w:rFonts w:cs="Arial"/>
                <w:sz w:val="20"/>
                <w:szCs w:val="20"/>
              </w:rPr>
              <w:br/>
            </w:r>
            <w:r w:rsidRPr="00AB1C80">
              <w:rPr>
                <w:rFonts w:cs="Arial"/>
                <w:sz w:val="20"/>
                <w:szCs w:val="20"/>
              </w:rPr>
              <w:br/>
              <w:t>• Exploración minera</w:t>
            </w:r>
            <w:r w:rsidRPr="00AB1C80">
              <w:rPr>
                <w:rFonts w:cs="Arial"/>
                <w:sz w:val="20"/>
                <w:szCs w:val="20"/>
              </w:rPr>
              <w:br/>
              <w:t>• Explotación minera</w:t>
            </w:r>
            <w:r w:rsidRPr="00AB1C80">
              <w:rPr>
                <w:rFonts w:cs="Arial"/>
                <w:sz w:val="20"/>
                <w:szCs w:val="20"/>
              </w:rPr>
              <w:br/>
              <w:t>• Procesamiento de materiales</w:t>
            </w:r>
            <w:r w:rsidRPr="00AB1C80">
              <w:rPr>
                <w:rFonts w:cs="Arial"/>
                <w:sz w:val="20"/>
                <w:szCs w:val="20"/>
              </w:rPr>
              <w:br/>
              <w:t>• Consumo de materiales</w:t>
            </w:r>
            <w:r w:rsidRPr="00AB1C80">
              <w:rPr>
                <w:rFonts w:cs="Arial"/>
                <w:sz w:val="20"/>
                <w:szCs w:val="20"/>
              </w:rPr>
              <w:br/>
              <w:t>• Depósito de residuos</w:t>
            </w:r>
            <w:r w:rsidRPr="00AB1C80">
              <w:rPr>
                <w:rFonts w:cs="Arial"/>
                <w:sz w:val="20"/>
                <w:szCs w:val="20"/>
              </w:rPr>
              <w:br/>
            </w:r>
            <w:r w:rsidRPr="00AB1C80">
              <w:rPr>
                <w:rFonts w:cs="Arial"/>
                <w:sz w:val="20"/>
                <w:szCs w:val="20"/>
              </w:rPr>
              <w:br/>
              <w:t>3. La economía circular minera corresponde a un ciclo cerrado de flujo de material, bajo el siguiente modelo:</w:t>
            </w:r>
            <w:r w:rsidRPr="00AB1C80">
              <w:rPr>
                <w:rFonts w:cs="Arial"/>
                <w:sz w:val="20"/>
                <w:szCs w:val="20"/>
              </w:rPr>
              <w:br/>
            </w:r>
            <w:r w:rsidRPr="00AB1C80">
              <w:rPr>
                <w:rFonts w:cs="Arial"/>
                <w:sz w:val="20"/>
                <w:szCs w:val="20"/>
              </w:rPr>
              <w:br/>
              <w:t>• Recursos minerales</w:t>
            </w:r>
            <w:r w:rsidRPr="00AB1C80">
              <w:rPr>
                <w:rFonts w:cs="Arial"/>
                <w:sz w:val="20"/>
                <w:szCs w:val="20"/>
              </w:rPr>
              <w:br/>
              <w:t>• Productos minerales</w:t>
            </w:r>
            <w:r w:rsidRPr="00AB1C80">
              <w:rPr>
                <w:rFonts w:cs="Arial"/>
                <w:sz w:val="20"/>
                <w:szCs w:val="20"/>
              </w:rPr>
              <w:br/>
              <w:t>• Recursos minerales renovables</w:t>
            </w:r>
            <w:r w:rsidRPr="00AB1C80">
              <w:rPr>
                <w:rFonts w:cs="Arial"/>
                <w:sz w:val="20"/>
                <w:szCs w:val="20"/>
              </w:rPr>
              <w:br/>
            </w:r>
            <w:r w:rsidRPr="00AB1C80">
              <w:rPr>
                <w:rFonts w:cs="Arial"/>
                <w:sz w:val="20"/>
                <w:szCs w:val="20"/>
              </w:rPr>
              <w:br/>
              <w:t>4. El principio de la 3R (reducir, reusar y reciclar) en la economía circular minera se puede clasificar según el método de implementación así:</w:t>
            </w:r>
            <w:r w:rsidRPr="00AB1C80">
              <w:rPr>
                <w:rFonts w:cs="Arial"/>
                <w:sz w:val="20"/>
                <w:szCs w:val="20"/>
              </w:rPr>
              <w:br/>
            </w:r>
            <w:r w:rsidRPr="00AB1C80">
              <w:rPr>
                <w:rFonts w:cs="Arial"/>
                <w:sz w:val="20"/>
                <w:szCs w:val="20"/>
              </w:rPr>
              <w:br/>
              <w:t>• Reducir: es considerado un método de entrada, que busca reducir el flujo de materiales y energía en el proceso de producción y consumo.</w:t>
            </w:r>
            <w:r w:rsidRPr="00AB1C80">
              <w:rPr>
                <w:rFonts w:cs="Arial"/>
                <w:sz w:val="20"/>
                <w:szCs w:val="20"/>
              </w:rPr>
              <w:br/>
              <w:t>• Reusar: es considerado un método de procedimiento, que busca extender la vida útil de un producto y/o servicio.</w:t>
            </w:r>
          </w:p>
          <w:p w14:paraId="604CDB4E" w14:textId="5C24F98B" w:rsidR="00644F0F" w:rsidRPr="00AB1C80" w:rsidRDefault="00644F0F" w:rsidP="00AB1C80">
            <w:pPr>
              <w:pStyle w:val="Prrafodelista"/>
              <w:spacing w:line="276" w:lineRule="auto"/>
              <w:rPr>
                <w:rFonts w:cs="Arial"/>
                <w:sz w:val="20"/>
                <w:szCs w:val="20"/>
              </w:rPr>
            </w:pPr>
            <w:r w:rsidRPr="00AB1C80">
              <w:rPr>
                <w:rFonts w:cs="Arial"/>
                <w:sz w:val="20"/>
                <w:szCs w:val="20"/>
              </w:rPr>
              <w:br/>
              <w:t>• Reciclar: es considerado un método de salida, en donde se busca exigir que los materiales vuelvan a ser recursos renovables después de su uso.</w:t>
            </w:r>
          </w:p>
        </w:tc>
      </w:tr>
      <w:tr w:rsidR="00644F0F" w:rsidRPr="00AB1C80" w14:paraId="75E4F182"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A5D7888"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Corea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EE5D4BE"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Estrategia de Parques Eco-Industriales</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21F66F8"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Jun Mo Park A, Joo Young Park B, C, Hung-</w:t>
            </w:r>
            <w:r w:rsidRPr="00AB1C80">
              <w:rPr>
                <w:rFonts w:cs="Arial"/>
                <w:color w:val="000000"/>
                <w:sz w:val="20"/>
                <w:szCs w:val="20"/>
              </w:rPr>
              <w:lastRenderedPageBreak/>
              <w:t>Suck Park a, D, *</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9BE3226"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lastRenderedPageBreak/>
              <w:t>2005</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5FE0A24" w14:textId="77777777" w:rsidR="00644F0F" w:rsidRPr="00AB1C80" w:rsidRDefault="00644F0F" w:rsidP="00533937">
            <w:pPr>
              <w:spacing w:line="276" w:lineRule="auto"/>
              <w:rPr>
                <w:rFonts w:cs="Arial"/>
                <w:sz w:val="20"/>
                <w:szCs w:val="20"/>
              </w:rPr>
            </w:pPr>
            <w:r w:rsidRPr="00AB1C80">
              <w:rPr>
                <w:rFonts w:cs="Arial"/>
                <w:sz w:val="20"/>
                <w:szCs w:val="20"/>
              </w:rPr>
              <w:t xml:space="preserve">En este documento se lleva a cabo una revisión exhaustiva de la primera fase (2005-2010) del Programa Nacional de Desarrollo sobre Parques </w:t>
            </w:r>
            <w:proofErr w:type="spellStart"/>
            <w:r w:rsidRPr="00AB1C80">
              <w:rPr>
                <w:rFonts w:cs="Arial"/>
                <w:sz w:val="20"/>
                <w:szCs w:val="20"/>
              </w:rPr>
              <w:t>ecoidustriales</w:t>
            </w:r>
            <w:proofErr w:type="spellEnd"/>
            <w:r w:rsidRPr="00AB1C80">
              <w:rPr>
                <w:rFonts w:cs="Arial"/>
                <w:sz w:val="20"/>
                <w:szCs w:val="20"/>
              </w:rPr>
              <w:t xml:space="preserve"> EIP de Corea. Como una necesidad nacional de mejorar el desempeño y competitividad de una base industrial existente, el gobierno coreano estableció el programa de parques </w:t>
            </w:r>
            <w:r w:rsidRPr="00AB1C80">
              <w:rPr>
                <w:rFonts w:cs="Arial"/>
                <w:sz w:val="20"/>
                <w:szCs w:val="20"/>
              </w:rPr>
              <w:lastRenderedPageBreak/>
              <w:t>ecoindustriales EIP (por sus siglas en inglés), a desarrollar en tres etapas o fases, para un término de 15 años.</w:t>
            </w:r>
            <w:r w:rsidRPr="00AB1C80">
              <w:rPr>
                <w:rFonts w:cs="Arial"/>
                <w:sz w:val="20"/>
                <w:szCs w:val="20"/>
              </w:rPr>
              <w:br/>
              <w:t xml:space="preserve"> </w:t>
            </w:r>
            <w:r w:rsidRPr="00AB1C80">
              <w:rPr>
                <w:rFonts w:cs="Arial"/>
                <w:sz w:val="20"/>
                <w:szCs w:val="20"/>
              </w:rPr>
              <w:br/>
              <w:t>Dicha revisión comprendió los siguientes aspectos:</w:t>
            </w:r>
            <w:r w:rsidRPr="00AB1C80">
              <w:rPr>
                <w:rFonts w:cs="Arial"/>
                <w:sz w:val="20"/>
                <w:szCs w:val="20"/>
              </w:rPr>
              <w:br/>
              <w:t>La evolución del programa EIP coreano</w:t>
            </w:r>
            <w:r w:rsidRPr="00AB1C80">
              <w:rPr>
                <w:rFonts w:cs="Arial"/>
                <w:sz w:val="20"/>
                <w:szCs w:val="20"/>
              </w:rPr>
              <w:br/>
              <w:t>Planificación del enfoque global de la simbiosis industrial basado en el análisis FODA</w:t>
            </w:r>
            <w:r w:rsidRPr="00AB1C80">
              <w:rPr>
                <w:rFonts w:cs="Arial"/>
                <w:sz w:val="20"/>
                <w:szCs w:val="20"/>
              </w:rPr>
              <w:br/>
              <w:t>Estrategias para el desarrollo de proyectos de simbiosis industrial</w:t>
            </w:r>
            <w:r w:rsidRPr="00AB1C80">
              <w:rPr>
                <w:rFonts w:cs="Arial"/>
                <w:sz w:val="20"/>
                <w:szCs w:val="20"/>
              </w:rPr>
              <w:br/>
              <w:t>Desarrollo del proyecto</w:t>
            </w:r>
            <w:r w:rsidRPr="00AB1C80">
              <w:rPr>
                <w:rFonts w:cs="Arial"/>
                <w:sz w:val="20"/>
                <w:szCs w:val="20"/>
              </w:rPr>
              <w:br/>
              <w:t>Éxitos y factores limitantes en la primera fase del programa EIP</w:t>
            </w:r>
            <w:r w:rsidRPr="00AB1C80">
              <w:rPr>
                <w:rFonts w:cs="Arial"/>
                <w:sz w:val="20"/>
                <w:szCs w:val="20"/>
              </w:rPr>
              <w:br/>
            </w:r>
            <w:r w:rsidRPr="00AB1C80">
              <w:rPr>
                <w:rFonts w:cs="Arial"/>
                <w:sz w:val="20"/>
                <w:szCs w:val="20"/>
              </w:rPr>
              <w:br/>
              <w:t>Es de resaltar, que por medio de un análisis FODA se muestra cómo el plan original para los EIP coreanos cambió y evolucionó durante su implementación, donde se pudieron examinar los factores técnicos, económicos, legales / regulatorios y sociales para identificar los impulsores importantes para un mayor desarrollo de simbiosis industrial en Corea y en otros lugares. También se hace énfasis en las limitaciones encontradas en la experimentación piloto y se proponen estrategias avanzadas para la segunda fase, que tiene como objetivo ampliar los esfuerzos eco-industriales de desarrollo.</w:t>
            </w:r>
          </w:p>
          <w:p w14:paraId="4096D7E3" w14:textId="781E1AFB" w:rsidR="00644F0F" w:rsidRPr="00AB1C80" w:rsidRDefault="00644F0F" w:rsidP="00533937">
            <w:pPr>
              <w:spacing w:line="276" w:lineRule="auto"/>
              <w:rPr>
                <w:rFonts w:cs="Arial"/>
                <w:sz w:val="20"/>
                <w:szCs w:val="20"/>
              </w:rPr>
            </w:pPr>
            <w:r w:rsidRPr="00AB1C80">
              <w:rPr>
                <w:rFonts w:cs="Arial"/>
                <w:sz w:val="20"/>
                <w:szCs w:val="20"/>
              </w:rPr>
              <w:br/>
              <w:t>Importante es la participación de diversos actores, además de los actores empresariales, los centros regionales de EIP, las partes interesadas de empresas, universidades, institutos de investigación y gobiernos locales, como una forma de promover la comunicación, el intercambio de información y la cooperación entre ellos.</w:t>
            </w:r>
          </w:p>
        </w:tc>
      </w:tr>
      <w:tr w:rsidR="00644F0F" w:rsidRPr="00AB1C80" w14:paraId="7764AFBD"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B120475"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Escocia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D41DCA3"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Plan Escocés de Cero Desperdicios</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2BA34DA"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El Gobierno Escocés, Edimburgo</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C8A6EA7"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5C3E63D" w14:textId="77777777" w:rsidR="00644F0F" w:rsidRPr="00AB1C80" w:rsidRDefault="00644F0F" w:rsidP="00533937">
            <w:pPr>
              <w:spacing w:line="276" w:lineRule="auto"/>
              <w:rPr>
                <w:rFonts w:cs="Arial"/>
                <w:sz w:val="20"/>
                <w:szCs w:val="20"/>
              </w:rPr>
            </w:pPr>
            <w:r w:rsidRPr="00AB1C80">
              <w:rPr>
                <w:rFonts w:cs="Arial"/>
                <w:sz w:val="20"/>
                <w:szCs w:val="20"/>
              </w:rPr>
              <w:t>El Plan Residuos Cero, es un plan para todos los residuos de Escocia, para lo cual se establece una visión a largo plazo, en donde se deben tomar medidas y direccionar estrategias en las siguientes cuatro áreas: flujos de recursos, oportunidad económica, sector de gestión de recursos y educación y sensibilización. El documento define las principales estrategias a implementar para cada una de las áreas de acción, que se convierten en la ruta a seguir en los siguientes 10 años, para lograr cero residuos.</w:t>
            </w:r>
            <w:r w:rsidRPr="00AB1C80">
              <w:rPr>
                <w:rFonts w:cs="Arial"/>
                <w:sz w:val="20"/>
                <w:szCs w:val="20"/>
              </w:rPr>
              <w:br/>
            </w:r>
            <w:r w:rsidRPr="00AB1C80">
              <w:rPr>
                <w:rFonts w:cs="Arial"/>
                <w:sz w:val="20"/>
                <w:szCs w:val="20"/>
              </w:rPr>
              <w:br/>
              <w:t xml:space="preserve">Importante el papel de la Agencia de Protección Ambiental de Escocia con su papel </w:t>
            </w:r>
            <w:r w:rsidRPr="00AB1C80">
              <w:rPr>
                <w:rFonts w:cs="Arial"/>
                <w:sz w:val="20"/>
                <w:szCs w:val="20"/>
              </w:rPr>
              <w:lastRenderedPageBreak/>
              <w:t>regulador y la participación de diversos actores clave, para impulsar y contribuir en los propósitos comunes de reducir drásticamente el impacto ambiental causado por los residuos sólidos.</w:t>
            </w:r>
            <w:r w:rsidRPr="00AB1C80">
              <w:rPr>
                <w:rFonts w:cs="Arial"/>
                <w:sz w:val="20"/>
                <w:szCs w:val="20"/>
              </w:rPr>
              <w:br/>
            </w:r>
            <w:r w:rsidRPr="00AB1C80">
              <w:rPr>
                <w:rFonts w:cs="Arial"/>
                <w:sz w:val="20"/>
                <w:szCs w:val="20"/>
              </w:rPr>
              <w:br/>
              <w:t>El documento no es explícito en la regulación y planes de acción para el sector minero.</w:t>
            </w:r>
          </w:p>
        </w:tc>
      </w:tr>
      <w:tr w:rsidR="00644F0F" w:rsidRPr="00AB1C80" w14:paraId="21FBE57F"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CB6CFFB"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India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C55C6CC"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Cenizas Volantes Como Mejorador del Suelo para Mejorar la Producción de Cultivos: una Revisión</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1B84844"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4 Sudha Jala, Dinesh Goyal</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5B92F78"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2004</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C5EF579" w14:textId="0ED0A75A" w:rsidR="00644F0F" w:rsidRPr="00AB1C80" w:rsidRDefault="00644F0F" w:rsidP="00533937">
            <w:pPr>
              <w:spacing w:line="276" w:lineRule="auto"/>
              <w:rPr>
                <w:rFonts w:cs="Arial"/>
                <w:sz w:val="20"/>
                <w:szCs w:val="20"/>
              </w:rPr>
            </w:pPr>
            <w:r w:rsidRPr="00AB1C80">
              <w:rPr>
                <w:rFonts w:cs="Arial"/>
                <w:sz w:val="20"/>
                <w:szCs w:val="20"/>
              </w:rPr>
              <w:t>Como también hacen referencia los autores, solo en EE. UU., más de 118 Mt (millones de toneladas) al año de productos provenientes de la combustión de carbón generaron 58 productos comerciales y en la India la cifra es de más de 100Mt por año, de los cuales 4 Mt se liberan a la atmósfera. Los subproductos de la combustión de carbón se han tratado en gran medida como materiales de desecho. Sin embargo, en el pasado reciente se ha identificado, que, debido a la presencia de elementos minerales básicos parecidos a los existentes en la corteza terrestre, los hace excelentes para reemplazo de materiales naturales. Pueden usarse como un sustituto del cemento Portland en la fabricación de techos, baldosas y como rellenos estructurales, placas de yeso, o como fertilizantes agrícolas y para mejoramiento del suelo, lo cual es un ejemplo de encadenamiento productivo y de modelo de economía circular.</w:t>
            </w:r>
            <w:r w:rsidRPr="00AB1C80">
              <w:rPr>
                <w:rFonts w:cs="Arial"/>
                <w:sz w:val="20"/>
                <w:szCs w:val="20"/>
              </w:rPr>
              <w:br/>
            </w:r>
            <w:r w:rsidRPr="00AB1C80">
              <w:rPr>
                <w:rFonts w:cs="Arial"/>
                <w:sz w:val="20"/>
                <w:szCs w:val="20"/>
              </w:rPr>
              <w:br/>
              <w:t xml:space="preserve">En este caso particular, el estudio se centra en revisar la información disponible sobre varios atributos de las cenizas volantes y explorar la posibilidad de explotarlas para obtener ventajas agronómicas. El énfasis del documento está en analizar las propiedades fisicoquímicas de las cenizas volantes y su utilización en el mejoramiento de la fertilidad de los suelos y su efecto en la calidad de estos y en la aplicación en la producción de biomasa, tanto en la agricultura, en lo forestal, como en la recuperación de tierras baldías. No obstante, se considera necesario generar nuevos conocimientos para minimizar aún más la contaminación del suelo y del agua subterránea e identificar formas de explotar eficientemente las cenizas volantes como agente mejorador del suelo para la recuperación de tierras baldías y producción de biomasa. </w:t>
            </w:r>
          </w:p>
        </w:tc>
      </w:tr>
      <w:tr w:rsidR="00644F0F" w:rsidRPr="00AB1C80" w14:paraId="1A9B0822"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79FF800"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 xml:space="preserve">Origen Internacional </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EFA010D"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 xml:space="preserve">Economía Circular Resiliente e Inclusiva para </w:t>
            </w:r>
            <w:r w:rsidRPr="00AB1C80">
              <w:rPr>
                <w:rFonts w:cs="Arial"/>
                <w:color w:val="000000"/>
                <w:sz w:val="20"/>
                <w:szCs w:val="20"/>
              </w:rPr>
              <w:lastRenderedPageBreak/>
              <w:t>Reconstruir Mejor y Mas Verde</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8071C86"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lastRenderedPageBreak/>
              <w:t>ONU Programa para el Medio Ambiente</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DE217C"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2020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B785F7" w14:textId="77777777" w:rsidR="00644F0F" w:rsidRPr="00AB1C80" w:rsidRDefault="00644F0F" w:rsidP="00AB1C80">
            <w:pPr>
              <w:spacing w:line="276" w:lineRule="auto"/>
              <w:jc w:val="center"/>
              <w:rPr>
                <w:rFonts w:cs="Arial"/>
                <w:sz w:val="20"/>
                <w:szCs w:val="20"/>
              </w:rPr>
            </w:pPr>
            <w:r w:rsidRPr="00AB1C80">
              <w:rPr>
                <w:rFonts w:cs="Arial"/>
                <w:sz w:val="20"/>
                <w:szCs w:val="20"/>
              </w:rPr>
              <w:t xml:space="preserve">1. El programa de las naciones unidas para el medio ambiente (PNUMA) presta asesoramiento a los países en cuanto a las políticas, metodologías y apoyo técnico de los diferentes ejes temáticos facilitando el intercambio de conocimiento para poder </w:t>
            </w:r>
            <w:r w:rsidRPr="00AB1C80">
              <w:rPr>
                <w:rFonts w:cs="Arial"/>
                <w:sz w:val="20"/>
                <w:szCs w:val="20"/>
              </w:rPr>
              <w:lastRenderedPageBreak/>
              <w:t>llegar a cumplir con los Objetivos de Desarrollo Sostenible (ODS).</w:t>
            </w:r>
            <w:r w:rsidRPr="00AB1C80">
              <w:rPr>
                <w:rFonts w:cs="Arial"/>
                <w:sz w:val="20"/>
                <w:szCs w:val="20"/>
              </w:rPr>
              <w:br/>
            </w:r>
            <w:r w:rsidRPr="00AB1C80">
              <w:rPr>
                <w:rFonts w:cs="Arial"/>
                <w:sz w:val="20"/>
                <w:szCs w:val="20"/>
              </w:rPr>
              <w:br/>
              <w:t>2. La economía circular es fundamental para alcanzar los siguientes Objetivos de desarrollo sostenible (ODS):</w:t>
            </w:r>
            <w:r w:rsidRPr="00AB1C80">
              <w:rPr>
                <w:rFonts w:cs="Arial"/>
                <w:sz w:val="20"/>
                <w:szCs w:val="20"/>
              </w:rPr>
              <w:br/>
            </w:r>
            <w:r w:rsidRPr="00AB1C80">
              <w:rPr>
                <w:rFonts w:cs="Arial"/>
                <w:sz w:val="20"/>
                <w:szCs w:val="20"/>
              </w:rPr>
              <w:br/>
              <w:t>• 2: Hambre cero</w:t>
            </w:r>
            <w:r w:rsidRPr="00AB1C80">
              <w:rPr>
                <w:rFonts w:cs="Arial"/>
                <w:sz w:val="20"/>
                <w:szCs w:val="20"/>
              </w:rPr>
              <w:br/>
              <w:t>• 8: Trabajo decente y crecimiento económico</w:t>
            </w:r>
            <w:r w:rsidRPr="00AB1C80">
              <w:rPr>
                <w:rFonts w:cs="Arial"/>
                <w:sz w:val="20"/>
                <w:szCs w:val="20"/>
              </w:rPr>
              <w:br/>
              <w:t>• 9: Industria innovación e infraestructura</w:t>
            </w:r>
            <w:r w:rsidRPr="00AB1C80">
              <w:rPr>
                <w:rFonts w:cs="Arial"/>
                <w:sz w:val="20"/>
                <w:szCs w:val="20"/>
              </w:rPr>
              <w:br/>
              <w:t>• 12: Producción y consumo responsable</w:t>
            </w:r>
            <w:r w:rsidRPr="00AB1C80">
              <w:rPr>
                <w:rFonts w:cs="Arial"/>
                <w:sz w:val="20"/>
                <w:szCs w:val="20"/>
              </w:rPr>
              <w:br/>
              <w:t>• 13: Acción por el clima</w:t>
            </w:r>
            <w:r w:rsidRPr="00AB1C80">
              <w:rPr>
                <w:rFonts w:cs="Arial"/>
                <w:sz w:val="20"/>
                <w:szCs w:val="20"/>
              </w:rPr>
              <w:br/>
              <w:t>• 15: Vida de ecosistemas terrestres</w:t>
            </w:r>
          </w:p>
        </w:tc>
      </w:tr>
      <w:tr w:rsidR="00644F0F" w:rsidRPr="00AB1C80" w14:paraId="40162544"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93CB0E"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 xml:space="preserve">Origen Internacional </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8E1B598"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Elaboración de un Documento de Orientación sobre Mejores Prácticas en los Planes de Gestión de Residuos Extractivos</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6007C6F"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Consultoría e Ingeniería de Eco Eficiencia Ltd. en Colaboración Con Wefalck, Pöyry Finland Oy, Botond Kertész &amp; CRS Ingeniería</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BB27D99"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2019</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989372B" w14:textId="77777777" w:rsidR="00644F0F" w:rsidRPr="00AB1C80" w:rsidRDefault="00644F0F" w:rsidP="00533937">
            <w:pPr>
              <w:spacing w:line="276" w:lineRule="auto"/>
              <w:rPr>
                <w:rFonts w:cs="Arial"/>
                <w:sz w:val="20"/>
                <w:szCs w:val="20"/>
              </w:rPr>
            </w:pPr>
            <w:r w:rsidRPr="00AB1C80">
              <w:rPr>
                <w:rFonts w:cs="Arial"/>
                <w:sz w:val="20"/>
                <w:szCs w:val="20"/>
              </w:rPr>
              <w:t>La Comisión solicitó información a las autoridades, la industria, las ONG ambientales, expertos y sociedad civil. Este informe presenta los resultados de la información recibida evaluada y datos recopilados adicionales que identifican las mejores prácticas en la gestión de residuos extractivos planes, centrándose en aquellos aspectos relacionados con la Economía Circular.</w:t>
            </w:r>
            <w:r w:rsidRPr="00AB1C80">
              <w:rPr>
                <w:rFonts w:cs="Arial"/>
                <w:sz w:val="20"/>
                <w:szCs w:val="20"/>
              </w:rPr>
              <w:br/>
            </w:r>
            <w:r w:rsidRPr="00AB1C80">
              <w:rPr>
                <w:rFonts w:cs="Arial"/>
                <w:sz w:val="20"/>
                <w:szCs w:val="20"/>
              </w:rPr>
              <w:br/>
              <w:t>El alcance de la presente guía es explorar enfoques más allá de los requisitos mínimos de la Directivas de la Comisión, con el fin de promover conceptos de Economía Circular en el sector minero y donde los miembros de los Estados deben asegurarse de que los operadores elaboren un plan de gestión de residuos extractivos (EWMP).</w:t>
            </w:r>
          </w:p>
        </w:tc>
      </w:tr>
      <w:tr w:rsidR="00644F0F" w:rsidRPr="00AB1C80" w14:paraId="2DA54559"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A087D5"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 xml:space="preserve">Origen Internacional </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587BFF6"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Sistema de Categorización para la Economía Circular</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3DC0214"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Editado por Peter Hirsch y Christian Schempp</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A489E93"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2020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EF810B2" w14:textId="77777777" w:rsidR="00644F0F" w:rsidRPr="00AB1C80" w:rsidRDefault="00644F0F" w:rsidP="00533937">
            <w:pPr>
              <w:spacing w:line="276" w:lineRule="auto"/>
              <w:rPr>
                <w:rFonts w:cs="Arial"/>
                <w:sz w:val="20"/>
                <w:szCs w:val="20"/>
              </w:rPr>
            </w:pPr>
            <w:r w:rsidRPr="00AB1C80">
              <w:rPr>
                <w:rFonts w:cs="Arial"/>
                <w:sz w:val="20"/>
                <w:szCs w:val="20"/>
              </w:rPr>
              <w:t>Este documento, elaborado recientemente (2020) por el Grupo de expertos en finanzas de la Comisión Europea (CE Finance Expert Group) ha propuesto un Sistema de Categorización de Economía Circular, que define distintas categorías de actividades y criterios mínimos para aplicar a cada categoría, lo que contribuye sustancialmente a una economía circular, para aumentar la eficiencia de los recursos y la disminución de impactos ambientales.</w:t>
            </w:r>
            <w:r w:rsidRPr="00AB1C80">
              <w:rPr>
                <w:rFonts w:cs="Arial"/>
                <w:sz w:val="20"/>
                <w:szCs w:val="20"/>
              </w:rPr>
              <w:br/>
            </w:r>
            <w:r w:rsidRPr="00AB1C80">
              <w:rPr>
                <w:rFonts w:cs="Arial"/>
                <w:sz w:val="20"/>
                <w:szCs w:val="20"/>
              </w:rPr>
              <w:br/>
              <w:t xml:space="preserve">Se presentan las diferentes categorías circulares organizadas en cuatro grupos o modelos de categorías de alto nivel, lo cual facilita la clasificación y sirve de orientación </w:t>
            </w:r>
            <w:r w:rsidRPr="00AB1C80">
              <w:rPr>
                <w:rFonts w:cs="Arial"/>
                <w:sz w:val="20"/>
                <w:szCs w:val="20"/>
              </w:rPr>
              <w:lastRenderedPageBreak/>
              <w:t>metodológica que incluye una lista indicativa de proyectos típicos para cada categoría de economía circular. Estos grupos se alinean con la Value Hill Business Model Tool desarrollada por Circle Economy.</w:t>
            </w:r>
            <w:r w:rsidRPr="00AB1C80">
              <w:rPr>
                <w:rFonts w:cs="Arial"/>
                <w:sz w:val="20"/>
                <w:szCs w:val="20"/>
              </w:rPr>
              <w:br/>
            </w:r>
            <w:r w:rsidRPr="00AB1C80">
              <w:rPr>
                <w:rFonts w:cs="Arial"/>
                <w:sz w:val="20"/>
                <w:szCs w:val="20"/>
              </w:rPr>
              <w:br/>
              <w:t>Como aporte importante, se definen las estrategias o principios "R" de economía circular, conocidas como las 9 R, que permite ser aplicadas a las diversas categorías.</w:t>
            </w:r>
          </w:p>
        </w:tc>
      </w:tr>
      <w:tr w:rsidR="00644F0F" w:rsidRPr="00AB1C80" w14:paraId="1AB6677A"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8622227"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Japón</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7C4FC33"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Ley de Promoción de la Utilización Efectiva de los Recursos</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B0BF5B0"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DD2D84"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2000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27ECDB" w14:textId="77777777" w:rsidR="00644F0F" w:rsidRPr="00AB1C80" w:rsidRDefault="00644F0F" w:rsidP="00533937">
            <w:pPr>
              <w:spacing w:line="276" w:lineRule="auto"/>
              <w:rPr>
                <w:rFonts w:cs="Arial"/>
                <w:sz w:val="20"/>
                <w:szCs w:val="20"/>
              </w:rPr>
            </w:pPr>
            <w:r w:rsidRPr="00AB1C80">
              <w:rPr>
                <w:rFonts w:cs="Arial"/>
                <w:sz w:val="20"/>
                <w:szCs w:val="20"/>
              </w:rPr>
              <w:t>Este documento se refiere expresamente a los términos de ley para reglamentar la promoción de la utilización efectiva de recursos para las categorías de negocio existentes en entidades comerciales e industrias de Japón, para lo cual se aplican principalmente 3 estrategias o principios R. Desafortunadamente, no hace referencia a la industria minera.</w:t>
            </w:r>
          </w:p>
        </w:tc>
      </w:tr>
      <w:tr w:rsidR="00644F0F" w:rsidRPr="00AB1C80" w14:paraId="76B8C15C"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2AC6598"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Perú</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AC273DB"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Aplicación de Economías Circulares en Minería</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0E340CB"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Luis Paolo Francisco Mendiola Soberón</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9399A58"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2019</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1E2D958" w14:textId="77777777" w:rsidR="00644F0F" w:rsidRPr="00AB1C80" w:rsidRDefault="00644F0F" w:rsidP="00533937">
            <w:pPr>
              <w:spacing w:line="276" w:lineRule="auto"/>
              <w:rPr>
                <w:rFonts w:cs="Arial"/>
                <w:sz w:val="20"/>
                <w:szCs w:val="20"/>
              </w:rPr>
            </w:pPr>
            <w:r w:rsidRPr="00AB1C80">
              <w:rPr>
                <w:rFonts w:cs="Arial"/>
                <w:sz w:val="20"/>
                <w:szCs w:val="20"/>
              </w:rPr>
              <w:t>La problemática ambiental generada a raíz de los esquemas económicos lineales, puedes ser remediada mediante la aplicación de economías circulares generando valor agregado a los residuos, convirtiendo los mismos (residuos) en insumos necesarios para otras industrias.</w:t>
            </w:r>
            <w:r w:rsidRPr="00AB1C80">
              <w:rPr>
                <w:rFonts w:cs="Arial"/>
                <w:sz w:val="20"/>
                <w:szCs w:val="20"/>
              </w:rPr>
              <w:br/>
            </w:r>
            <w:r w:rsidRPr="00AB1C80">
              <w:rPr>
                <w:rFonts w:cs="Arial"/>
                <w:sz w:val="20"/>
                <w:szCs w:val="20"/>
              </w:rPr>
              <w:br/>
              <w:t>Igualmente, la escasez de recursos naturales ha sido el impulso más eficiente para el desarrollo del ser humano; es este motivo el que permitió desarrollar los conceptos de economía circular para promover economías verdes que permiten un desarrollo sostenible.</w:t>
            </w:r>
            <w:r w:rsidRPr="00AB1C80">
              <w:rPr>
                <w:rFonts w:cs="Arial"/>
                <w:sz w:val="20"/>
                <w:szCs w:val="20"/>
              </w:rPr>
              <w:br/>
            </w:r>
            <w:r w:rsidRPr="00AB1C80">
              <w:rPr>
                <w:rFonts w:cs="Arial"/>
                <w:sz w:val="20"/>
                <w:szCs w:val="20"/>
              </w:rPr>
              <w:br/>
              <w:t>Por tal motivo, el avance tecnológico y las mejoras de proceso son iniciativas buenas, que complementadas con conceptos de economía circular permitirían dar el siguiente paso en la evolución del negocio minero, hacia una minería que no enfrenta conflictos sociales derivados de manejo de residuos.</w:t>
            </w:r>
            <w:r w:rsidRPr="00AB1C80">
              <w:rPr>
                <w:rFonts w:cs="Arial"/>
                <w:sz w:val="20"/>
                <w:szCs w:val="20"/>
              </w:rPr>
              <w:br/>
            </w:r>
            <w:r w:rsidRPr="00AB1C80">
              <w:rPr>
                <w:rFonts w:cs="Arial"/>
                <w:sz w:val="20"/>
                <w:szCs w:val="20"/>
              </w:rPr>
              <w:br/>
              <w:t>Por último, el marco normativo actual que regula la operación minera debe tener un carácter restrictivo, que necesita ser flexibilizado para promover la implementación de economías circular, promoviendo la migración de esquemas económicos lineales mediante impulsos tributarios para su desarrollo.</w:t>
            </w:r>
          </w:p>
        </w:tc>
      </w:tr>
      <w:tr w:rsidR="00644F0F" w:rsidRPr="00AB1C80" w14:paraId="2E7B440B"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8DECFB3"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lastRenderedPageBreak/>
              <w:t>Perú</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6D2D861"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El Sector Minero y su Rol Como Impulsor de la Economía Circular en el Perú</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1C3A640"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Fidel Kishimoto</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9CDDB1D"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2021</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95BB6A9" w14:textId="77777777" w:rsidR="00644F0F" w:rsidRPr="00AB1C80" w:rsidRDefault="00644F0F" w:rsidP="00533937">
            <w:pPr>
              <w:spacing w:line="276" w:lineRule="auto"/>
              <w:rPr>
                <w:rFonts w:cs="Arial"/>
                <w:sz w:val="20"/>
                <w:szCs w:val="20"/>
              </w:rPr>
            </w:pPr>
            <w:r w:rsidRPr="00AB1C80">
              <w:rPr>
                <w:rFonts w:cs="Arial"/>
                <w:sz w:val="20"/>
                <w:szCs w:val="20"/>
              </w:rPr>
              <w:t>Perú, parte principalmente en el desarrollo de nuevos modelos de negocio que permita la transformación del sistema de economía lineal basado en el concepto de producir, adquirir, usar y eliminar al sistema de economía del reciclaje establecido en el concepto de producir, adquirir, usar, reciclar y eliminar, con el fin de mitigar o disminuir los efectos adversos del cambio climático, según afirma Fidel Kishimoto.</w:t>
            </w:r>
            <w:r w:rsidRPr="00AB1C80">
              <w:rPr>
                <w:rFonts w:cs="Arial"/>
                <w:sz w:val="20"/>
                <w:szCs w:val="20"/>
              </w:rPr>
              <w:br/>
            </w:r>
            <w:r w:rsidRPr="00AB1C80">
              <w:rPr>
                <w:rFonts w:cs="Arial"/>
                <w:sz w:val="20"/>
                <w:szCs w:val="20"/>
              </w:rPr>
              <w:br/>
              <w:t>En el caso del modelo de negocios del sector minero peruano, según el artículo, la economía circular se ha venido aplicando, aunque sin darle dicho nombre, dado que hay cada vez más técnicas eficientes, productivas y que reducen el impacto ambiental.</w:t>
            </w:r>
          </w:p>
        </w:tc>
      </w:tr>
      <w:tr w:rsidR="00644F0F" w:rsidRPr="00AB1C80" w14:paraId="21621247"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EE1AE2"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Reino Unido</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E8A357B"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Financiamiento de la Economía Circular</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732804F"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Fundación Ellen Macarthur</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7711B42"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2020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92F9489" w14:textId="77777777" w:rsidR="00644F0F" w:rsidRPr="00AB1C80" w:rsidRDefault="00644F0F" w:rsidP="00533937">
            <w:pPr>
              <w:spacing w:line="276" w:lineRule="auto"/>
              <w:rPr>
                <w:rFonts w:cs="Arial"/>
                <w:sz w:val="20"/>
                <w:szCs w:val="20"/>
              </w:rPr>
            </w:pPr>
            <w:r w:rsidRPr="00AB1C80">
              <w:rPr>
                <w:rFonts w:cs="Arial"/>
                <w:sz w:val="20"/>
                <w:szCs w:val="20"/>
              </w:rPr>
              <w:t>Documento representativo para las finanzas del sector privado, que explora el potencial de creación de valor de la economía circular para inversores, bancos y otras empresas de servicios financieros. Se resalta la importancia que ha tenido la economía circularen los últimos años y define algunas estrategias del mercado financiero.</w:t>
            </w:r>
          </w:p>
        </w:tc>
      </w:tr>
      <w:tr w:rsidR="00644F0F" w:rsidRPr="00AB1C80" w14:paraId="58A6A069" w14:textId="77777777" w:rsidTr="00644F0F">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A6404B6" w14:textId="77777777" w:rsidR="00644F0F" w:rsidRPr="00AB1C80" w:rsidRDefault="00644F0F" w:rsidP="00AB1C80">
            <w:pPr>
              <w:spacing w:line="276" w:lineRule="auto"/>
              <w:jc w:val="center"/>
              <w:rPr>
                <w:rFonts w:cs="Arial"/>
                <w:b/>
                <w:bCs/>
                <w:color w:val="000000"/>
                <w:sz w:val="20"/>
                <w:szCs w:val="20"/>
              </w:rPr>
            </w:pPr>
            <w:r w:rsidRPr="00AB1C80">
              <w:rPr>
                <w:rFonts w:cs="Arial"/>
                <w:b/>
                <w:bCs/>
                <w:color w:val="000000"/>
                <w:sz w:val="20"/>
                <w:szCs w:val="20"/>
              </w:rPr>
              <w:t>Rusia</w:t>
            </w:r>
          </w:p>
        </w:tc>
        <w:tc>
          <w:tcPr>
            <w:tcW w:w="247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A158890"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Aspectos Problemáticos y Potencialidades de la Aplicación de los Principios de una Economía Circular en la Industria Minera</w:t>
            </w:r>
          </w:p>
        </w:tc>
        <w:tc>
          <w:tcPr>
            <w:tcW w:w="149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7250356" w14:textId="77777777" w:rsidR="00644F0F" w:rsidRPr="00AB1C80" w:rsidRDefault="00644F0F" w:rsidP="00AB1C80">
            <w:pPr>
              <w:spacing w:line="276" w:lineRule="auto"/>
              <w:jc w:val="center"/>
              <w:rPr>
                <w:rFonts w:cs="Arial"/>
                <w:color w:val="202124"/>
                <w:sz w:val="20"/>
                <w:szCs w:val="20"/>
              </w:rPr>
            </w:pPr>
            <w:r w:rsidRPr="00AB1C80">
              <w:rPr>
                <w:rFonts w:cs="Arial"/>
                <w:color w:val="202124"/>
                <w:sz w:val="20"/>
                <w:szCs w:val="20"/>
              </w:rPr>
              <w:t>Centro de Investigación Federal “Kola Science Center Of RAS”</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1FDBA01" w14:textId="77777777" w:rsidR="00644F0F" w:rsidRPr="00AB1C80" w:rsidRDefault="00644F0F" w:rsidP="00AB1C80">
            <w:pPr>
              <w:spacing w:line="276" w:lineRule="auto"/>
              <w:jc w:val="center"/>
              <w:rPr>
                <w:rFonts w:cs="Arial"/>
                <w:color w:val="000000"/>
                <w:sz w:val="20"/>
                <w:szCs w:val="20"/>
              </w:rPr>
            </w:pPr>
            <w:r w:rsidRPr="00AB1C80">
              <w:rPr>
                <w:rFonts w:cs="Arial"/>
                <w:color w:val="000000"/>
                <w:sz w:val="20"/>
                <w:szCs w:val="20"/>
              </w:rPr>
              <w:t>2020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DD5A84F" w14:textId="77777777" w:rsidR="00644F0F" w:rsidRPr="00AB1C80" w:rsidRDefault="00644F0F" w:rsidP="00533937">
            <w:pPr>
              <w:spacing w:line="276" w:lineRule="auto"/>
              <w:rPr>
                <w:rFonts w:cs="Arial"/>
                <w:sz w:val="20"/>
                <w:szCs w:val="20"/>
              </w:rPr>
            </w:pPr>
            <w:r w:rsidRPr="00AB1C80">
              <w:rPr>
                <w:rFonts w:cs="Arial"/>
                <w:sz w:val="20"/>
                <w:szCs w:val="20"/>
              </w:rPr>
              <w:t>El documento hace énfasis en como concepto de economía circular (EC) penetra gradualmente en varios ámbitos de producción y consumo como parte de la ideología del "Curso Verde", asegurando desarrollo a largo plazo. No se puede llamar al sector minero interesado en transformar la economía lineal hacia una economía circular más eficiente en el uso de los recursos utilizando los sistemas de regeneración. La idea de la recuperación cíclica de valores de residuos y productos usados en cadenas de suministro cerrado tiene como objetivo minimizar el uso de recursos primarios escasos. Los actores del sector minero perciben esta idea como una amenaza más que como una oportunidad para mejorar su posición en el mercado. A lo largo de con los impulsores existen barreras y cuellos de botella que impiden la implementación de los principios de la EC en la industria minera. Hay muy pocos estudios relacionados con el desarrollo o adaptación de modelos circulares de negocio para empresas mineras.</w:t>
            </w:r>
            <w:r w:rsidRPr="00AB1C80">
              <w:rPr>
                <w:rFonts w:cs="Arial"/>
                <w:sz w:val="20"/>
                <w:szCs w:val="20"/>
              </w:rPr>
              <w:br/>
            </w:r>
            <w:r w:rsidRPr="00AB1C80">
              <w:rPr>
                <w:rFonts w:cs="Arial"/>
                <w:sz w:val="20"/>
                <w:szCs w:val="20"/>
              </w:rPr>
              <w:br/>
              <w:t>De otra parte, resalta la importancia de la categorización de las estrategias o principios 3R (reducir, reusar y reciclar) en la economía circular minera.</w:t>
            </w:r>
          </w:p>
        </w:tc>
      </w:tr>
    </w:tbl>
    <w:p w14:paraId="36B185F8" w14:textId="0B64C173" w:rsidR="00443CDB" w:rsidRPr="00AB1C80" w:rsidRDefault="00644F0F" w:rsidP="00AB1C80">
      <w:pPr>
        <w:pStyle w:val="Fuente"/>
        <w:spacing w:line="276" w:lineRule="auto"/>
        <w:rPr>
          <w:rFonts w:cs="Arial"/>
          <w:lang w:val="es-CO"/>
        </w:rPr>
      </w:pPr>
      <w:r w:rsidRPr="00AB1C80">
        <w:rPr>
          <w:rFonts w:cs="Arial"/>
          <w:lang w:val="es-CO"/>
        </w:rPr>
        <w:t xml:space="preserve"> </w:t>
      </w:r>
      <w:r w:rsidR="00443CDB" w:rsidRPr="00AB1C80">
        <w:rPr>
          <w:rFonts w:cs="Arial"/>
          <w:lang w:val="es-CO"/>
        </w:rPr>
        <w:t>Fuente: ATG Ltda., 2021.</w:t>
      </w:r>
    </w:p>
    <w:p w14:paraId="536D4C3D" w14:textId="77777777" w:rsidR="00443CDB" w:rsidRPr="00AB1C80" w:rsidRDefault="00443CDB" w:rsidP="00AB1C80">
      <w:pPr>
        <w:pStyle w:val="Descripcin"/>
        <w:spacing w:line="276" w:lineRule="auto"/>
        <w:rPr>
          <w:rFonts w:cs="Arial"/>
          <w:lang w:val="es-CO"/>
        </w:rPr>
      </w:pPr>
    </w:p>
    <w:p w14:paraId="2312B580" w14:textId="4DA2F613" w:rsidR="00443CDB" w:rsidRPr="00AB1C80" w:rsidRDefault="00443CDB" w:rsidP="00AB1C80">
      <w:pPr>
        <w:pStyle w:val="Descripcin"/>
        <w:spacing w:line="276" w:lineRule="auto"/>
        <w:rPr>
          <w:rFonts w:cs="Arial"/>
          <w:lang w:val="es-CO"/>
        </w:rPr>
      </w:pPr>
      <w:bookmarkStart w:id="117" w:name="_Ref86257918"/>
      <w:bookmarkStart w:id="118" w:name="_Toc86333032"/>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27</w:t>
      </w:r>
      <w:r w:rsidRPr="00AB1C80">
        <w:rPr>
          <w:rFonts w:cs="Arial"/>
          <w:lang w:val="es-CO"/>
        </w:rPr>
        <w:fldChar w:fldCharType="end"/>
      </w:r>
      <w:bookmarkEnd w:id="117"/>
      <w:r w:rsidRPr="00AB1C80">
        <w:rPr>
          <w:rFonts w:cs="Arial"/>
          <w:lang w:val="es-CO"/>
        </w:rPr>
        <w:t>. Revisión de información internacional por documentos oficinales para economía circular.</w:t>
      </w:r>
      <w:bookmarkEnd w:id="118"/>
    </w:p>
    <w:tbl>
      <w:tblPr>
        <w:tblW w:w="14170" w:type="dxa"/>
        <w:jc w:val="center"/>
        <w:tblCellMar>
          <w:left w:w="0" w:type="dxa"/>
          <w:right w:w="0" w:type="dxa"/>
        </w:tblCellMar>
        <w:tblLook w:val="04A0" w:firstRow="1" w:lastRow="0" w:firstColumn="1" w:lastColumn="0" w:noHBand="0" w:noVBand="1"/>
      </w:tblPr>
      <w:tblGrid>
        <w:gridCol w:w="1244"/>
        <w:gridCol w:w="2509"/>
        <w:gridCol w:w="1509"/>
        <w:gridCol w:w="1153"/>
        <w:gridCol w:w="7755"/>
      </w:tblGrid>
      <w:tr w:rsidR="00112460" w:rsidRPr="00AB1C80" w14:paraId="75BD2A68" w14:textId="77777777" w:rsidTr="00112460">
        <w:trPr>
          <w:trHeight w:val="20"/>
          <w:tblHeader/>
          <w:jc w:val="center"/>
        </w:trPr>
        <w:tc>
          <w:tcPr>
            <w:tcW w:w="1249"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386C998D" w14:textId="77777777" w:rsidR="00112460" w:rsidRPr="00AB1C80" w:rsidRDefault="00112460"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517"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394B84D3" w14:textId="77777777" w:rsidR="00112460" w:rsidRPr="00AB1C80" w:rsidRDefault="00112460"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509"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21335AE3" w14:textId="77777777" w:rsidR="00112460" w:rsidRPr="00AB1C80" w:rsidRDefault="00112460"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099"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4A326DD6" w14:textId="77777777" w:rsidR="00112460" w:rsidRPr="00AB1C80" w:rsidRDefault="00112460"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9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0BAC8D80" w14:textId="77777777" w:rsidR="00112460" w:rsidRPr="00AB1C80" w:rsidRDefault="00112460"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AB1C80" w:rsidRPr="00AB1C80" w14:paraId="1B1C7A80" w14:textId="77777777" w:rsidTr="00112460">
        <w:trPr>
          <w:trHeight w:val="20"/>
          <w:jc w:val="center"/>
        </w:trPr>
        <w:tc>
          <w:tcPr>
            <w:tcW w:w="1249"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10DFD9" w14:textId="77777777" w:rsidR="00112460" w:rsidRPr="00AB1C80" w:rsidRDefault="00112460" w:rsidP="00AB1C80">
            <w:pPr>
              <w:spacing w:line="276" w:lineRule="auto"/>
              <w:jc w:val="center"/>
              <w:rPr>
                <w:rFonts w:cs="Arial"/>
                <w:b/>
                <w:bCs/>
                <w:color w:val="000000"/>
                <w:sz w:val="20"/>
                <w:szCs w:val="20"/>
              </w:rPr>
            </w:pPr>
            <w:r w:rsidRPr="00AB1C80">
              <w:rPr>
                <w:rFonts w:cs="Arial"/>
                <w:b/>
                <w:bCs/>
                <w:color w:val="000000"/>
                <w:sz w:val="20"/>
                <w:szCs w:val="20"/>
              </w:rPr>
              <w:t>Perú</w:t>
            </w:r>
          </w:p>
        </w:tc>
        <w:tc>
          <w:tcPr>
            <w:tcW w:w="251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36882A4" w14:textId="77777777" w:rsidR="00112460" w:rsidRPr="00AB1C80" w:rsidRDefault="00112460" w:rsidP="00AB1C80">
            <w:pPr>
              <w:spacing w:line="276" w:lineRule="auto"/>
              <w:jc w:val="center"/>
              <w:rPr>
                <w:rFonts w:cs="Arial"/>
                <w:color w:val="000000"/>
                <w:sz w:val="20"/>
                <w:szCs w:val="20"/>
              </w:rPr>
            </w:pPr>
            <w:r w:rsidRPr="00AB1C80">
              <w:rPr>
                <w:rFonts w:cs="Arial"/>
                <w:color w:val="000000"/>
                <w:sz w:val="20"/>
                <w:szCs w:val="20"/>
              </w:rPr>
              <w:t>Acelerando el Cambio Hacia una Economía Circular en Plástico en Lima Metropolitana y el Callao</w:t>
            </w:r>
          </w:p>
        </w:tc>
        <w:tc>
          <w:tcPr>
            <w:tcW w:w="1509"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B689C53" w14:textId="77777777" w:rsidR="00112460" w:rsidRPr="00AB1C80" w:rsidRDefault="00112460" w:rsidP="00AB1C80">
            <w:pPr>
              <w:spacing w:line="276" w:lineRule="auto"/>
              <w:jc w:val="center"/>
              <w:rPr>
                <w:rFonts w:cs="Arial"/>
                <w:color w:val="202124"/>
                <w:sz w:val="20"/>
                <w:szCs w:val="20"/>
              </w:rPr>
            </w:pPr>
            <w:r w:rsidRPr="00AB1C80">
              <w:rPr>
                <w:rFonts w:cs="Arial"/>
                <w:color w:val="202124"/>
                <w:sz w:val="20"/>
                <w:szCs w:val="20"/>
              </w:rPr>
              <w:t xml:space="preserve">Centro de Coeficiencia y Responsabilidad Social-Cer </w:t>
            </w:r>
          </w:p>
        </w:tc>
        <w:tc>
          <w:tcPr>
            <w:tcW w:w="1099"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4218AE" w14:textId="77777777" w:rsidR="00112460" w:rsidRPr="00AB1C80" w:rsidRDefault="00112460" w:rsidP="00AB1C80">
            <w:pPr>
              <w:spacing w:line="276" w:lineRule="auto"/>
              <w:jc w:val="center"/>
              <w:rPr>
                <w:rFonts w:cs="Arial"/>
                <w:color w:val="000000"/>
                <w:sz w:val="20"/>
                <w:szCs w:val="20"/>
              </w:rPr>
            </w:pPr>
            <w:r w:rsidRPr="00AB1C80">
              <w:rPr>
                <w:rFonts w:cs="Arial"/>
                <w:color w:val="000000"/>
                <w:sz w:val="20"/>
                <w:szCs w:val="20"/>
              </w:rPr>
              <w:t>2020</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DB9C738" w14:textId="77777777" w:rsidR="00112460" w:rsidRPr="00AB1C80" w:rsidRDefault="00112460" w:rsidP="00533937">
            <w:pPr>
              <w:spacing w:line="276" w:lineRule="auto"/>
              <w:rPr>
                <w:rFonts w:cs="Arial"/>
                <w:sz w:val="20"/>
                <w:szCs w:val="20"/>
              </w:rPr>
            </w:pPr>
            <w:r w:rsidRPr="00AB1C80">
              <w:rPr>
                <w:rFonts w:cs="Arial"/>
                <w:sz w:val="20"/>
                <w:szCs w:val="20"/>
              </w:rPr>
              <w:t>El proyecto parte de la definición de economía circular, sus principios y objetivos, adaptada por la Organización Internacional de Normalización ISO y la Fundación Ellen MacArthur; “Economía que es restauradora y regenerativa por diseño, y que tiene por objeto mantener en todo momento la mayor utilidad y valor de los productos, componentes y materiales, distinguiendo entre ciclos técnicos y biológicos”. Sus principios:</w:t>
            </w:r>
            <w:r w:rsidRPr="00AB1C80">
              <w:rPr>
                <w:rFonts w:cs="Arial"/>
                <w:sz w:val="20"/>
                <w:szCs w:val="20"/>
              </w:rPr>
              <w:br/>
            </w:r>
            <w:r w:rsidRPr="00AB1C80">
              <w:rPr>
                <w:rFonts w:cs="Arial"/>
                <w:sz w:val="20"/>
                <w:szCs w:val="20"/>
              </w:rPr>
              <w:br/>
              <w:t>1. Preservar y mejorar el capital natural controlando existencias finitas y equilibrando los flujos de recursos Renovables.</w:t>
            </w:r>
            <w:r w:rsidRPr="00AB1C80">
              <w:rPr>
                <w:rFonts w:cs="Arial"/>
                <w:sz w:val="20"/>
                <w:szCs w:val="20"/>
              </w:rPr>
              <w:br/>
              <w:t>2. Optimizar el uso de los recursos rotando productos, componentes y materiales con la máxima utilidad en todo momento, tanto en los ciclos técnicos como en los biológicos.</w:t>
            </w:r>
            <w:r w:rsidRPr="00AB1C80">
              <w:rPr>
                <w:rFonts w:cs="Arial"/>
                <w:sz w:val="20"/>
                <w:szCs w:val="20"/>
              </w:rPr>
              <w:br/>
              <w:t>3. Fomentar la eficacia del sistema revelando y eliminando externalidades negativas</w:t>
            </w:r>
            <w:r w:rsidRPr="00AB1C80">
              <w:rPr>
                <w:rFonts w:cs="Arial"/>
                <w:sz w:val="20"/>
                <w:szCs w:val="20"/>
              </w:rPr>
              <w:br/>
            </w:r>
            <w:r w:rsidRPr="00AB1C80">
              <w:rPr>
                <w:rFonts w:cs="Arial"/>
                <w:sz w:val="20"/>
                <w:szCs w:val="20"/>
              </w:rPr>
              <w:br/>
              <w:t>Como se observa en la Figura 1. Se establecen los objetivos del proyecto propuesto por la Fundación Ellen MacArthur es que los plásticos nunca se desperdicien, sino que el material se reincorpore en la economía, es decir, crear una efectiva economía del plástico después de su uso, reduciendo el plástico que llega a lugares naturales, especialmente al océano.</w:t>
            </w:r>
            <w:r w:rsidRPr="00AB1C80">
              <w:rPr>
                <w:rFonts w:cs="Arial"/>
                <w:sz w:val="20"/>
                <w:szCs w:val="20"/>
              </w:rPr>
              <w:br/>
            </w:r>
            <w:r w:rsidRPr="00AB1C80">
              <w:rPr>
                <w:rFonts w:cs="Arial"/>
                <w:sz w:val="20"/>
                <w:szCs w:val="20"/>
              </w:rPr>
              <w:br/>
              <w:t>Así mismo, la estructura del informe del proyecto se determina con base a un diagnóstico de los flujos y reciclaje del plástico formal e informal en el país, con el fin de hacer un análisis de las normas legales nacionales y los compromisos internacionales asumidos por Perú relacionados a la economía circular de plásticos.</w:t>
            </w:r>
            <w:r w:rsidRPr="00AB1C80">
              <w:rPr>
                <w:rFonts w:cs="Arial"/>
                <w:sz w:val="20"/>
                <w:szCs w:val="20"/>
              </w:rPr>
              <w:br/>
            </w:r>
            <w:r w:rsidRPr="00AB1C80">
              <w:rPr>
                <w:rFonts w:cs="Arial"/>
                <w:sz w:val="20"/>
                <w:szCs w:val="20"/>
              </w:rPr>
              <w:br/>
              <w:t>A partir de la información generada en el diagnóstico, se identifica la necesidad de profundizar en las características de la producción de los centros de acopio y en las percepciones de las ventajas, desventajas y barreras de la formalización.</w:t>
            </w:r>
          </w:p>
        </w:tc>
      </w:tr>
    </w:tbl>
    <w:p w14:paraId="1FC9B436" w14:textId="2E943B18" w:rsidR="00443CDB" w:rsidRPr="00AB1C80" w:rsidRDefault="00112460" w:rsidP="00AB1C80">
      <w:pPr>
        <w:pStyle w:val="Fuente"/>
        <w:spacing w:line="276" w:lineRule="auto"/>
        <w:rPr>
          <w:rFonts w:cs="Arial"/>
          <w:lang w:val="es-CO"/>
        </w:rPr>
      </w:pPr>
      <w:r w:rsidRPr="00AB1C80">
        <w:rPr>
          <w:rFonts w:cs="Arial"/>
          <w:lang w:val="es-CO"/>
        </w:rPr>
        <w:t xml:space="preserve"> </w:t>
      </w:r>
      <w:r w:rsidR="00443CDB" w:rsidRPr="00AB1C80">
        <w:rPr>
          <w:rFonts w:cs="Arial"/>
          <w:lang w:val="es-CO"/>
        </w:rPr>
        <w:t>Fuente: ATG Ltda., 2021.</w:t>
      </w:r>
    </w:p>
    <w:p w14:paraId="181344C0" w14:textId="77777777" w:rsidR="00443CDB" w:rsidRPr="00AB1C80" w:rsidRDefault="00443CDB" w:rsidP="00AB1C80">
      <w:pPr>
        <w:spacing w:line="276" w:lineRule="auto"/>
        <w:jc w:val="center"/>
        <w:rPr>
          <w:rFonts w:cs="Arial"/>
          <w:color w:val="000000" w:themeColor="text1"/>
        </w:rPr>
      </w:pPr>
    </w:p>
    <w:p w14:paraId="36413804" w14:textId="132FCE0C" w:rsidR="00443CDB" w:rsidRPr="00AB1C80" w:rsidRDefault="00443CDB" w:rsidP="00AB1C80">
      <w:pPr>
        <w:pStyle w:val="Descripcin"/>
        <w:spacing w:line="276" w:lineRule="auto"/>
        <w:rPr>
          <w:rFonts w:cs="Arial"/>
          <w:lang w:val="es-CO"/>
        </w:rPr>
      </w:pPr>
      <w:bookmarkStart w:id="119" w:name="_Ref86257920"/>
      <w:bookmarkStart w:id="120" w:name="_Toc86333033"/>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28</w:t>
      </w:r>
      <w:r w:rsidRPr="00AB1C80">
        <w:rPr>
          <w:rFonts w:cs="Arial"/>
          <w:lang w:val="es-CO"/>
        </w:rPr>
        <w:fldChar w:fldCharType="end"/>
      </w:r>
      <w:bookmarkEnd w:id="119"/>
      <w:r w:rsidRPr="00AB1C80">
        <w:rPr>
          <w:rFonts w:cs="Arial"/>
          <w:lang w:val="es-CO"/>
        </w:rPr>
        <w:t>. Revisión de información internacional por guías técnicas para economía circular.</w:t>
      </w:r>
      <w:bookmarkEnd w:id="120"/>
    </w:p>
    <w:tbl>
      <w:tblPr>
        <w:tblW w:w="14175" w:type="dxa"/>
        <w:tblInd w:w="-572" w:type="dxa"/>
        <w:tblCellMar>
          <w:left w:w="0" w:type="dxa"/>
          <w:right w:w="0" w:type="dxa"/>
        </w:tblCellMar>
        <w:tblLook w:val="04A0" w:firstRow="1" w:lastRow="0" w:firstColumn="1" w:lastColumn="0" w:noHBand="0" w:noVBand="1"/>
      </w:tblPr>
      <w:tblGrid>
        <w:gridCol w:w="1275"/>
        <w:gridCol w:w="2408"/>
        <w:gridCol w:w="1558"/>
        <w:gridCol w:w="1153"/>
        <w:gridCol w:w="7781"/>
      </w:tblGrid>
      <w:tr w:rsidR="00AA0B78" w:rsidRPr="00AB1C80" w14:paraId="467667F2" w14:textId="77777777" w:rsidTr="00AA0B78">
        <w:trPr>
          <w:trHeight w:val="20"/>
          <w:tblHeader/>
        </w:trPr>
        <w:tc>
          <w:tcPr>
            <w:tcW w:w="1275"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1C6BBED5" w14:textId="77777777" w:rsidR="00AA0B78" w:rsidRPr="00AB1C80" w:rsidRDefault="00AA0B78"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411"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6C84A24E" w14:textId="77777777" w:rsidR="00AA0B78" w:rsidRPr="00AB1C80" w:rsidRDefault="00AA0B78"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559"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37537BA1" w14:textId="77777777" w:rsidR="00AA0B78" w:rsidRPr="00AB1C80" w:rsidRDefault="00AA0B78"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134"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18BA9B8B" w14:textId="77777777" w:rsidR="00AA0B78" w:rsidRPr="00AB1C80" w:rsidRDefault="00AA0B78"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9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49EDE4FC" w14:textId="77777777" w:rsidR="00AA0B78" w:rsidRPr="00AB1C80" w:rsidRDefault="00AA0B78"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AA0B78" w:rsidRPr="00AB1C80" w14:paraId="01BCF775" w14:textId="77777777" w:rsidTr="00AA0B78">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77E84EE" w14:textId="77777777" w:rsidR="00AA0B78" w:rsidRPr="00AB1C80" w:rsidRDefault="00AA0B78" w:rsidP="00AB1C80">
            <w:pPr>
              <w:spacing w:line="276" w:lineRule="auto"/>
              <w:jc w:val="center"/>
              <w:rPr>
                <w:rFonts w:cs="Arial"/>
                <w:b/>
                <w:bCs/>
                <w:color w:val="000000"/>
                <w:sz w:val="20"/>
                <w:szCs w:val="20"/>
              </w:rPr>
            </w:pPr>
            <w:r w:rsidRPr="00AB1C80">
              <w:rPr>
                <w:rFonts w:cs="Arial"/>
                <w:b/>
                <w:bCs/>
                <w:color w:val="000000"/>
                <w:sz w:val="20"/>
                <w:szCs w:val="20"/>
              </w:rPr>
              <w:t>Australia</w:t>
            </w:r>
          </w:p>
        </w:tc>
        <w:tc>
          <w:tcPr>
            <w:tcW w:w="2411"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BBE8C61"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La Contribución de la Minería a la Economía Circular Emergente</w:t>
            </w:r>
          </w:p>
        </w:tc>
        <w:tc>
          <w:tcPr>
            <w:tcW w:w="1559"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81C50FC"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Golev, Becario Postdoctoral; e Lebre, Candidato a Doctorado; y G Corder, Investigador Principal, Instituto de Minerales Sostenibles, Universidad de Queensland</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15BB508"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2016</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63CB373" w14:textId="77777777" w:rsidR="00AA0B78" w:rsidRPr="00AB1C80" w:rsidRDefault="00AA0B78" w:rsidP="00533937">
            <w:pPr>
              <w:spacing w:line="276" w:lineRule="auto"/>
              <w:rPr>
                <w:rFonts w:cs="Arial"/>
                <w:sz w:val="20"/>
                <w:szCs w:val="20"/>
              </w:rPr>
            </w:pPr>
            <w:r w:rsidRPr="00AB1C80">
              <w:rPr>
                <w:rFonts w:cs="Arial"/>
                <w:sz w:val="20"/>
                <w:szCs w:val="20"/>
              </w:rPr>
              <w:t>Aplicando la economía circular a un desafío minero sostenible</w:t>
            </w:r>
            <w:r w:rsidRPr="00AB1C80">
              <w:rPr>
                <w:rFonts w:cs="Arial"/>
                <w:sz w:val="20"/>
                <w:szCs w:val="20"/>
              </w:rPr>
              <w:br/>
            </w:r>
            <w:r w:rsidRPr="00AB1C80">
              <w:rPr>
                <w:rFonts w:cs="Arial"/>
                <w:sz w:val="20"/>
                <w:szCs w:val="20"/>
              </w:rPr>
              <w:br/>
              <w:t>Los principios clave de la economía circular, son utilizar los recursos de manera eficiente, limitar la eliminación final de desechos y reducir las pérdidas de material valioso.</w:t>
            </w:r>
            <w:r w:rsidRPr="00AB1C80">
              <w:rPr>
                <w:rFonts w:cs="Arial"/>
                <w:sz w:val="20"/>
                <w:szCs w:val="20"/>
              </w:rPr>
              <w:br/>
              <w:t xml:space="preserve"> </w:t>
            </w:r>
            <w:r w:rsidRPr="00AB1C80">
              <w:rPr>
                <w:rFonts w:cs="Arial"/>
                <w:sz w:val="20"/>
                <w:szCs w:val="20"/>
              </w:rPr>
              <w:br/>
              <w:t xml:space="preserve">Hay varias oportunidades para implementar flujos circulares en el botadero de la mina, lo que resultaría en una mejora de la explotación de minerales, reduciendo las pérdidas de minerales y mitigar algunos de los impactos ambientales relacionados con la eliminación de residuos mineros. </w:t>
            </w:r>
            <w:r w:rsidRPr="00AB1C80">
              <w:rPr>
                <w:rFonts w:cs="Arial"/>
                <w:sz w:val="20"/>
                <w:szCs w:val="20"/>
              </w:rPr>
              <w:br/>
            </w:r>
            <w:r w:rsidRPr="00AB1C80">
              <w:rPr>
                <w:rFonts w:cs="Arial"/>
                <w:sz w:val="20"/>
                <w:szCs w:val="20"/>
              </w:rPr>
              <w:br/>
              <w:t xml:space="preserve">En particular, los DAM son el resultado de los sulfuros de minerales que quedan en los desechos mineros en el proceso extractivo, y se deben recuperar estos minerales o almacenar los residuos mineralizados. Ya que el buen manejo puede contribuir a una mejora en el medio ambiente de la mina así de esta manera generaría ganancias económicas. </w:t>
            </w:r>
            <w:r w:rsidRPr="00AB1C80">
              <w:rPr>
                <w:rFonts w:cs="Arial"/>
                <w:sz w:val="20"/>
                <w:szCs w:val="20"/>
              </w:rPr>
              <w:br/>
            </w:r>
            <w:r w:rsidRPr="00AB1C80">
              <w:rPr>
                <w:rFonts w:cs="Arial"/>
                <w:sz w:val="20"/>
                <w:szCs w:val="20"/>
              </w:rPr>
              <w:br/>
              <w:t>Aprovechar al máximo el material de desecho y los minerales que contiene este desecho, contribuyen a mejorar la extracción de recursos en general en una explotación minera. Como resultado, esto reduciría la necesidad de nuevas minas hasta cierto punto.</w:t>
            </w:r>
          </w:p>
        </w:tc>
      </w:tr>
      <w:tr w:rsidR="00AA0B78" w:rsidRPr="00AB1C80" w14:paraId="40F11551" w14:textId="77777777" w:rsidTr="00AA0B78">
        <w:trPr>
          <w:trHeight w:val="20"/>
        </w:trPr>
        <w:tc>
          <w:tcPr>
            <w:tcW w:w="127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6DEB37" w14:textId="77777777" w:rsidR="00AA0B78" w:rsidRPr="00AB1C80" w:rsidRDefault="00AA0B78" w:rsidP="00AB1C80">
            <w:pPr>
              <w:spacing w:line="276" w:lineRule="auto"/>
              <w:jc w:val="center"/>
              <w:rPr>
                <w:rFonts w:cs="Arial"/>
                <w:b/>
                <w:bCs/>
                <w:color w:val="000000"/>
                <w:sz w:val="20"/>
                <w:szCs w:val="20"/>
              </w:rPr>
            </w:pPr>
            <w:r w:rsidRPr="00AB1C80">
              <w:rPr>
                <w:rFonts w:cs="Arial"/>
                <w:b/>
                <w:bCs/>
                <w:color w:val="000000"/>
                <w:sz w:val="20"/>
                <w:szCs w:val="20"/>
              </w:rPr>
              <w:t xml:space="preserve">Origen Internacional </w:t>
            </w:r>
          </w:p>
        </w:tc>
        <w:tc>
          <w:tcPr>
            <w:tcW w:w="2411"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8E5812A"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Estériles y Economía Circular - Riesgos HAZOP</w:t>
            </w:r>
          </w:p>
        </w:tc>
        <w:tc>
          <w:tcPr>
            <w:tcW w:w="1559"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98ED1E"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Pablo Freedman, TECNA S.A.</w:t>
            </w:r>
          </w:p>
        </w:tc>
        <w:tc>
          <w:tcPr>
            <w:tcW w:w="113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0CD6EF8" w14:textId="77777777" w:rsidR="00AA0B78" w:rsidRPr="00AB1C80" w:rsidRDefault="00AA0B78" w:rsidP="00AB1C80">
            <w:pPr>
              <w:spacing w:line="276" w:lineRule="auto"/>
              <w:jc w:val="center"/>
              <w:rPr>
                <w:rFonts w:cs="Arial"/>
                <w:color w:val="000000"/>
                <w:sz w:val="20"/>
                <w:szCs w:val="20"/>
              </w:rPr>
            </w:pPr>
            <w:r w:rsidRPr="00AB1C80">
              <w:rPr>
                <w:rFonts w:cs="Arial"/>
                <w:color w:val="000000"/>
                <w:sz w:val="20"/>
                <w:szCs w:val="20"/>
              </w:rPr>
              <w:t>2003</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426D61D" w14:textId="77777777" w:rsidR="00AA0B78" w:rsidRPr="00AB1C80" w:rsidRDefault="00AA0B78" w:rsidP="00533937">
            <w:pPr>
              <w:spacing w:line="276" w:lineRule="auto"/>
              <w:rPr>
                <w:rFonts w:cs="Arial"/>
                <w:sz w:val="20"/>
                <w:szCs w:val="20"/>
              </w:rPr>
            </w:pPr>
            <w:r w:rsidRPr="00AB1C80">
              <w:rPr>
                <w:rFonts w:cs="Arial"/>
                <w:sz w:val="20"/>
                <w:szCs w:val="20"/>
              </w:rPr>
              <w:t>Campo de aplicación</w:t>
            </w:r>
            <w:r w:rsidRPr="00AB1C80">
              <w:rPr>
                <w:rFonts w:cs="Arial"/>
                <w:sz w:val="20"/>
                <w:szCs w:val="20"/>
              </w:rPr>
              <w:br/>
            </w:r>
            <w:r w:rsidRPr="00AB1C80">
              <w:rPr>
                <w:rFonts w:cs="Arial"/>
                <w:sz w:val="20"/>
                <w:szCs w:val="20"/>
              </w:rPr>
              <w:br/>
              <w:t>Se puede aplicar indistintamente a todo tipo de instalaciones ya sean nuevas, existentes o en casos de modificaciones de unidades en operación.</w:t>
            </w:r>
            <w:r w:rsidRPr="00AB1C80">
              <w:rPr>
                <w:rFonts w:cs="Arial"/>
                <w:sz w:val="20"/>
                <w:szCs w:val="20"/>
              </w:rPr>
              <w:br/>
            </w:r>
            <w:r w:rsidRPr="00AB1C80">
              <w:rPr>
                <w:rFonts w:cs="Arial"/>
                <w:sz w:val="20"/>
                <w:szCs w:val="20"/>
              </w:rPr>
              <w:br/>
              <w:t>En el caso de nuevas instalaciones, el estudio se puede realizar en cualquiera de las etapas del proyecto, como ser: diseño conceptual, durante la ingeniería básica o de detalle, o antes de la puesta en marcha.</w:t>
            </w:r>
          </w:p>
        </w:tc>
      </w:tr>
    </w:tbl>
    <w:p w14:paraId="7F0EC91E" w14:textId="7BCB9040" w:rsidR="00443CDB" w:rsidRPr="00AB1C80" w:rsidRDefault="00AA0B78" w:rsidP="00AB1C80">
      <w:pPr>
        <w:pStyle w:val="Fuente"/>
        <w:spacing w:line="276" w:lineRule="auto"/>
        <w:rPr>
          <w:rFonts w:cs="Arial"/>
          <w:lang w:val="es-CO"/>
        </w:rPr>
      </w:pPr>
      <w:r w:rsidRPr="00AB1C80">
        <w:rPr>
          <w:rFonts w:cs="Arial"/>
          <w:lang w:val="es-CO"/>
        </w:rPr>
        <w:t xml:space="preserve"> </w:t>
      </w:r>
      <w:r w:rsidR="00443CDB" w:rsidRPr="00AB1C80">
        <w:rPr>
          <w:rFonts w:cs="Arial"/>
          <w:lang w:val="es-CO"/>
        </w:rPr>
        <w:t>Fuente: ATG Ltda., 2021.</w:t>
      </w:r>
    </w:p>
    <w:p w14:paraId="754671AA" w14:textId="77777777" w:rsidR="00443CDB" w:rsidRPr="00AB1C80" w:rsidRDefault="00443CDB" w:rsidP="00AB1C80">
      <w:pPr>
        <w:spacing w:line="276" w:lineRule="auto"/>
        <w:jc w:val="center"/>
        <w:rPr>
          <w:rFonts w:cs="Arial"/>
        </w:rPr>
      </w:pPr>
    </w:p>
    <w:p w14:paraId="2A838B02" w14:textId="457FAB12" w:rsidR="00443CDB" w:rsidRPr="00AB1C80" w:rsidRDefault="00443CDB" w:rsidP="00AB1C80">
      <w:pPr>
        <w:pStyle w:val="Descripcin"/>
        <w:spacing w:line="276" w:lineRule="auto"/>
        <w:rPr>
          <w:rFonts w:cs="Arial"/>
          <w:lang w:val="es-CO"/>
        </w:rPr>
      </w:pPr>
      <w:bookmarkStart w:id="121" w:name="_Ref86257922"/>
      <w:bookmarkStart w:id="122" w:name="_Toc86333034"/>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29</w:t>
      </w:r>
      <w:r w:rsidRPr="00AB1C80">
        <w:rPr>
          <w:rFonts w:cs="Arial"/>
          <w:lang w:val="es-CO"/>
        </w:rPr>
        <w:fldChar w:fldCharType="end"/>
      </w:r>
      <w:bookmarkEnd w:id="121"/>
      <w:r w:rsidRPr="00AB1C80">
        <w:rPr>
          <w:rFonts w:cs="Arial"/>
          <w:lang w:val="es-CO"/>
        </w:rPr>
        <w:t>. Revisión de información internacional por otros documentos para economía circular.</w:t>
      </w:r>
      <w:bookmarkEnd w:id="122"/>
    </w:p>
    <w:tbl>
      <w:tblPr>
        <w:tblW w:w="14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5"/>
        <w:gridCol w:w="2548"/>
        <w:gridCol w:w="1417"/>
        <w:gridCol w:w="1153"/>
        <w:gridCol w:w="7777"/>
      </w:tblGrid>
      <w:tr w:rsidR="006300B5" w:rsidRPr="00AB1C80" w14:paraId="59E615F1" w14:textId="77777777" w:rsidTr="006300B5">
        <w:trPr>
          <w:trHeight w:val="20"/>
          <w:tblHeader/>
          <w:jc w:val="center"/>
        </w:trPr>
        <w:tc>
          <w:tcPr>
            <w:tcW w:w="1275" w:type="dxa"/>
            <w:shd w:val="clear" w:color="1E345C" w:fill="1E345C"/>
            <w:tcMar>
              <w:top w:w="15" w:type="dxa"/>
              <w:left w:w="15" w:type="dxa"/>
              <w:bottom w:w="0" w:type="dxa"/>
              <w:right w:w="15" w:type="dxa"/>
            </w:tcMar>
            <w:vAlign w:val="center"/>
            <w:hideMark/>
          </w:tcPr>
          <w:p w14:paraId="5B8959F1" w14:textId="77777777" w:rsidR="006300B5" w:rsidRPr="00AB1C80" w:rsidRDefault="006300B5"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548" w:type="dxa"/>
            <w:shd w:val="clear" w:color="1E345C" w:fill="1E345C"/>
            <w:tcMar>
              <w:top w:w="15" w:type="dxa"/>
              <w:left w:w="15" w:type="dxa"/>
              <w:bottom w:w="0" w:type="dxa"/>
              <w:right w:w="15" w:type="dxa"/>
            </w:tcMar>
            <w:vAlign w:val="center"/>
            <w:hideMark/>
          </w:tcPr>
          <w:p w14:paraId="3F4C644B" w14:textId="77777777" w:rsidR="006300B5" w:rsidRPr="00AB1C80" w:rsidRDefault="006300B5"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417" w:type="dxa"/>
            <w:shd w:val="clear" w:color="1E345C" w:fill="1E345C"/>
            <w:tcMar>
              <w:top w:w="15" w:type="dxa"/>
              <w:left w:w="15" w:type="dxa"/>
              <w:bottom w:w="0" w:type="dxa"/>
              <w:right w:w="15" w:type="dxa"/>
            </w:tcMar>
            <w:vAlign w:val="center"/>
            <w:hideMark/>
          </w:tcPr>
          <w:p w14:paraId="70B06C35" w14:textId="77777777" w:rsidR="006300B5" w:rsidRPr="00AB1C80" w:rsidRDefault="006300B5"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153" w:type="dxa"/>
            <w:shd w:val="clear" w:color="1E345C" w:fill="1E345C"/>
            <w:tcMar>
              <w:top w:w="15" w:type="dxa"/>
              <w:left w:w="15" w:type="dxa"/>
              <w:bottom w:w="0" w:type="dxa"/>
              <w:right w:w="15" w:type="dxa"/>
            </w:tcMar>
            <w:vAlign w:val="center"/>
            <w:hideMark/>
          </w:tcPr>
          <w:p w14:paraId="3B341ABA" w14:textId="77777777" w:rsidR="006300B5" w:rsidRPr="00AB1C80" w:rsidRDefault="006300B5"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77" w:type="dxa"/>
            <w:shd w:val="clear" w:color="1E345C" w:fill="1E345C"/>
            <w:tcMar>
              <w:top w:w="15" w:type="dxa"/>
              <w:left w:w="15" w:type="dxa"/>
              <w:bottom w:w="0" w:type="dxa"/>
              <w:right w:w="15" w:type="dxa"/>
            </w:tcMar>
            <w:vAlign w:val="center"/>
            <w:hideMark/>
          </w:tcPr>
          <w:p w14:paraId="58F21395" w14:textId="77777777" w:rsidR="006300B5" w:rsidRPr="00AB1C80" w:rsidRDefault="006300B5"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6300B5" w:rsidRPr="00AB1C80" w14:paraId="2FD8B69F"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6AE49E15"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t>Argentina</w:t>
            </w:r>
          </w:p>
        </w:tc>
        <w:tc>
          <w:tcPr>
            <w:tcW w:w="2548" w:type="dxa"/>
            <w:shd w:val="clear" w:color="auto" w:fill="auto"/>
            <w:tcMar>
              <w:top w:w="15" w:type="dxa"/>
              <w:left w:w="15" w:type="dxa"/>
              <w:bottom w:w="0" w:type="dxa"/>
              <w:right w:w="15" w:type="dxa"/>
            </w:tcMar>
            <w:vAlign w:val="center"/>
            <w:hideMark/>
          </w:tcPr>
          <w:p w14:paraId="5F917C2B"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El Cambio Cultural: el Modelo Sostenible para la Reactivación</w:t>
            </w:r>
          </w:p>
        </w:tc>
        <w:tc>
          <w:tcPr>
            <w:tcW w:w="1417" w:type="dxa"/>
            <w:shd w:val="clear" w:color="auto" w:fill="auto"/>
            <w:noWrap/>
            <w:tcMar>
              <w:top w:w="15" w:type="dxa"/>
              <w:left w:w="15" w:type="dxa"/>
              <w:bottom w:w="0" w:type="dxa"/>
              <w:right w:w="15" w:type="dxa"/>
            </w:tcMar>
            <w:vAlign w:val="center"/>
            <w:hideMark/>
          </w:tcPr>
          <w:p w14:paraId="6B55773A"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Luis Lehmann</w:t>
            </w:r>
          </w:p>
        </w:tc>
        <w:tc>
          <w:tcPr>
            <w:tcW w:w="1153" w:type="dxa"/>
            <w:shd w:val="clear" w:color="auto" w:fill="auto"/>
            <w:noWrap/>
            <w:tcMar>
              <w:top w:w="15" w:type="dxa"/>
              <w:left w:w="15" w:type="dxa"/>
              <w:bottom w:w="0" w:type="dxa"/>
              <w:right w:w="15" w:type="dxa"/>
            </w:tcMar>
            <w:vAlign w:val="center"/>
            <w:hideMark/>
          </w:tcPr>
          <w:p w14:paraId="48CBE4B4"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5111B850" w14:textId="77777777" w:rsidR="006300B5" w:rsidRPr="00AB1C80" w:rsidRDefault="006300B5" w:rsidP="00AB1C80">
            <w:pPr>
              <w:spacing w:line="276" w:lineRule="auto"/>
              <w:jc w:val="center"/>
              <w:rPr>
                <w:rFonts w:cs="Arial"/>
                <w:sz w:val="20"/>
                <w:szCs w:val="20"/>
              </w:rPr>
            </w:pPr>
            <w:r w:rsidRPr="00AB1C80">
              <w:rPr>
                <w:rFonts w:cs="Arial"/>
                <w:sz w:val="20"/>
                <w:szCs w:val="20"/>
              </w:rPr>
              <w:t>1. La economía circular trasciende a la política pública al requerir un cambio cultural.</w:t>
            </w:r>
            <w:r w:rsidRPr="00AB1C80">
              <w:rPr>
                <w:rFonts w:cs="Arial"/>
                <w:sz w:val="20"/>
                <w:szCs w:val="20"/>
              </w:rPr>
              <w:br/>
              <w:t>2. La forma de producir tras la pandemia será mediante nuevos modelos de negocios que generen beneficios a partir de innovar con nuevos paradigmas como la economía circular.</w:t>
            </w:r>
            <w:r w:rsidRPr="00AB1C80">
              <w:rPr>
                <w:rFonts w:cs="Arial"/>
                <w:sz w:val="20"/>
                <w:szCs w:val="20"/>
              </w:rPr>
              <w:br/>
              <w:t>3. La economía circular ha dejado de ser una disciplina limitada a grupos especializados y ha logrado el reconocimiento mundial como una herramienta que puede impulsar los cambios en los procesos económicos al tiempo que genere ganancias, respete el ambiente y tenga beneficios sociales.</w:t>
            </w:r>
            <w:r w:rsidRPr="00AB1C80">
              <w:rPr>
                <w:rFonts w:cs="Arial"/>
                <w:sz w:val="20"/>
                <w:szCs w:val="20"/>
              </w:rPr>
              <w:br/>
              <w:t>4. El esquema del marco RESOLVE contempla gran parte de las actuaciones basadas en la aplicación de los principios y fundamentos de la economía circular, así como la utilización de las herramientas, mecanismos, tecnologías y prácticas que ayudan a su puesta en marcha y desarrollo.</w:t>
            </w:r>
            <w:r w:rsidRPr="00AB1C80">
              <w:rPr>
                <w:rFonts w:cs="Arial"/>
                <w:sz w:val="20"/>
                <w:szCs w:val="20"/>
              </w:rPr>
              <w:br/>
              <w:t xml:space="preserve">5. Los tres principales desafíos para la implementación de la Economía Circular son: </w:t>
            </w:r>
            <w:r w:rsidRPr="00AB1C80">
              <w:rPr>
                <w:rFonts w:cs="Arial"/>
                <w:sz w:val="20"/>
                <w:szCs w:val="20"/>
              </w:rPr>
              <w:br/>
              <w:t>• Integración: se requiere una integración del ciclo de vida del producto, que va de la extracción de las materias primas hasta la eliminación, la reutilización y/o el reciclado.</w:t>
            </w:r>
            <w:r w:rsidRPr="00AB1C80">
              <w:rPr>
                <w:rFonts w:cs="Arial"/>
                <w:sz w:val="20"/>
                <w:szCs w:val="20"/>
              </w:rPr>
              <w:br/>
              <w:t>• Vinculación: muchas veces los residuos de una industria podrían ser recursos para otras.</w:t>
            </w:r>
            <w:r w:rsidRPr="00AB1C80">
              <w:rPr>
                <w:rFonts w:cs="Arial"/>
                <w:sz w:val="20"/>
                <w:szCs w:val="20"/>
              </w:rPr>
              <w:br/>
              <w:t>• Seguridad: imponer las políticas adecuadas, que permitan lograr un crecimiento económico, al tiempo que se reducen significativamente los impactos ambientales.</w:t>
            </w:r>
            <w:r w:rsidRPr="00AB1C80">
              <w:rPr>
                <w:rFonts w:cs="Arial"/>
                <w:sz w:val="20"/>
                <w:szCs w:val="20"/>
              </w:rPr>
              <w:br/>
              <w:t>6. Barreras para tener en cuenta para el desarrollo pleno de la Economía Circular:</w:t>
            </w:r>
            <w:r w:rsidRPr="00AB1C80">
              <w:rPr>
                <w:rFonts w:cs="Arial"/>
                <w:sz w:val="20"/>
                <w:szCs w:val="20"/>
              </w:rPr>
              <w:br/>
              <w:t>• Políticas y de regulación: falta de apoyo y de estímulos por parte de los gobiernos. Hace falta una armonización de estándares y definiciones que sirva de base para que la economía circular se desarrolle de manera correcta y para que se creen estándares certificables para todo tipo de industrias.</w:t>
            </w:r>
            <w:r w:rsidRPr="00AB1C80">
              <w:rPr>
                <w:rFonts w:cs="Arial"/>
                <w:sz w:val="20"/>
                <w:szCs w:val="20"/>
              </w:rPr>
              <w:br/>
              <w:t xml:space="preserve">• De aceptación cultural: la falta de conciencia ambiental en proveedores y clientes es un factor desalentador para que la economía circular eche a rodar. </w:t>
            </w:r>
            <w:r w:rsidRPr="00AB1C80">
              <w:rPr>
                <w:rFonts w:cs="Arial"/>
                <w:sz w:val="20"/>
                <w:szCs w:val="20"/>
              </w:rPr>
              <w:br/>
              <w:t xml:space="preserve">• De acceso a la financiación y económicas: el costo de nuevos modelos de innovación y de negocios “verdes” es una de las principales barreras para la adopción de </w:t>
            </w:r>
            <w:r w:rsidRPr="00AB1C80">
              <w:rPr>
                <w:rFonts w:cs="Arial"/>
                <w:sz w:val="20"/>
                <w:szCs w:val="20"/>
              </w:rPr>
              <w:lastRenderedPageBreak/>
              <w:t>prácticas de sostenibilidad de las pymes.</w:t>
            </w:r>
            <w:r w:rsidRPr="00AB1C80">
              <w:rPr>
                <w:rFonts w:cs="Arial"/>
                <w:sz w:val="20"/>
                <w:szCs w:val="20"/>
              </w:rPr>
              <w:br/>
              <w:t>• Tecnológicas y en las infraestructuras: la falta de competencias, conocimientos y habilidades técnicas se revela como otra causa de mucho peso para la lentitud en el desarrollo y la expansión de la economía circular.</w:t>
            </w:r>
          </w:p>
        </w:tc>
      </w:tr>
      <w:tr w:rsidR="00AB1C80" w:rsidRPr="00AB1C80" w14:paraId="5D741CB7"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27E2B845"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lastRenderedPageBreak/>
              <w:t>Canadá</w:t>
            </w:r>
          </w:p>
        </w:tc>
        <w:tc>
          <w:tcPr>
            <w:tcW w:w="2548" w:type="dxa"/>
            <w:shd w:val="clear" w:color="auto" w:fill="auto"/>
            <w:tcMar>
              <w:top w:w="15" w:type="dxa"/>
              <w:left w:w="15" w:type="dxa"/>
              <w:bottom w:w="0" w:type="dxa"/>
              <w:right w:w="15" w:type="dxa"/>
            </w:tcMar>
            <w:vAlign w:val="center"/>
            <w:hideMark/>
          </w:tcPr>
          <w:p w14:paraId="3FC405FC"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Materiales de Fondo para Mapas de Ruta Sectorial de Economía Circular</w:t>
            </w:r>
          </w:p>
        </w:tc>
        <w:tc>
          <w:tcPr>
            <w:tcW w:w="1417" w:type="dxa"/>
            <w:shd w:val="clear" w:color="auto" w:fill="auto"/>
            <w:tcMar>
              <w:top w:w="15" w:type="dxa"/>
              <w:left w:w="15" w:type="dxa"/>
              <w:bottom w:w="0" w:type="dxa"/>
              <w:right w:w="15" w:type="dxa"/>
            </w:tcMar>
            <w:vAlign w:val="center"/>
            <w:hideMark/>
          </w:tcPr>
          <w:p w14:paraId="5E2662FF"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Smart Prosperity Institute</w:t>
            </w:r>
          </w:p>
        </w:tc>
        <w:tc>
          <w:tcPr>
            <w:tcW w:w="1153" w:type="dxa"/>
            <w:shd w:val="clear" w:color="auto" w:fill="auto"/>
            <w:tcMar>
              <w:top w:w="15" w:type="dxa"/>
              <w:left w:w="15" w:type="dxa"/>
              <w:bottom w:w="0" w:type="dxa"/>
              <w:right w:w="15" w:type="dxa"/>
            </w:tcMar>
            <w:vAlign w:val="center"/>
            <w:hideMark/>
          </w:tcPr>
          <w:p w14:paraId="01B0B14C"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728E7039" w14:textId="77777777" w:rsidR="006300B5" w:rsidRPr="00AB1C80" w:rsidRDefault="006300B5" w:rsidP="00533937">
            <w:pPr>
              <w:spacing w:line="276" w:lineRule="auto"/>
              <w:rPr>
                <w:rFonts w:cs="Arial"/>
                <w:sz w:val="20"/>
                <w:szCs w:val="20"/>
              </w:rPr>
            </w:pPr>
            <w:r w:rsidRPr="00AB1C80">
              <w:rPr>
                <w:rFonts w:cs="Arial"/>
                <w:sz w:val="20"/>
                <w:szCs w:val="20"/>
              </w:rPr>
              <w:t>Objetivos, estrategias y prácticas Figura 1-1. Objetivos, estrategias y prácticas de economía circular que se encuentran en los minerales y sector metalúrgico</w:t>
            </w:r>
            <w:r w:rsidRPr="00AB1C80">
              <w:rPr>
                <w:rFonts w:cs="Arial"/>
                <w:sz w:val="20"/>
                <w:szCs w:val="20"/>
              </w:rPr>
              <w:br/>
            </w:r>
            <w:r w:rsidRPr="00AB1C80">
              <w:rPr>
                <w:rFonts w:cs="Arial"/>
                <w:sz w:val="20"/>
                <w:szCs w:val="20"/>
              </w:rPr>
              <w:br/>
              <w:t xml:space="preserve">El consumo de reducidos recursos es uno de los enfoques de la economía circular en la industria minera. </w:t>
            </w:r>
            <w:r w:rsidRPr="00AB1C80">
              <w:rPr>
                <w:rFonts w:cs="Arial"/>
                <w:sz w:val="20"/>
                <w:szCs w:val="20"/>
              </w:rPr>
              <w:br/>
            </w:r>
            <w:r w:rsidRPr="00AB1C80">
              <w:rPr>
                <w:rFonts w:cs="Arial"/>
                <w:sz w:val="20"/>
                <w:szCs w:val="20"/>
              </w:rPr>
              <w:br/>
              <w:t>Para lograr este objetivo, las empresas emplean estrategias de ecodiseño, como el desarrollo de equipos de extracción eléctricos, eco-insumos químicos amigables y otras innovaciones tecnológicas.</w:t>
            </w:r>
            <w:r w:rsidRPr="00AB1C80">
              <w:rPr>
                <w:rFonts w:cs="Arial"/>
                <w:sz w:val="20"/>
                <w:szCs w:val="20"/>
              </w:rPr>
              <w:br/>
            </w:r>
            <w:r w:rsidRPr="00AB1C80">
              <w:rPr>
                <w:rFonts w:cs="Arial"/>
                <w:sz w:val="20"/>
                <w:szCs w:val="20"/>
              </w:rPr>
              <w:br/>
              <w:t>Otra estrategia utilizada para reducir el consumo de recursos es optimización de procesos en todo el proceso de producción.</w:t>
            </w:r>
            <w:r w:rsidRPr="00AB1C80">
              <w:rPr>
                <w:rFonts w:cs="Arial"/>
                <w:sz w:val="20"/>
                <w:szCs w:val="20"/>
              </w:rPr>
              <w:br/>
            </w:r>
            <w:r w:rsidRPr="00AB1C80">
              <w:rPr>
                <w:rFonts w:cs="Arial"/>
                <w:sz w:val="20"/>
                <w:szCs w:val="20"/>
              </w:rPr>
              <w:br/>
              <w:t xml:space="preserve">En 2018, la empresa logró un promedio de reutilización y reciclaje tasa del 65%. Las tecnologías innovadoras también están mejorando la eficiencia de la extracción minera. Tomra Systems 17 utiliza un sensor- sistema de clasificación de minerales basado en la separación de materiales secos de varios yacimientos y minerales para una extracción más eficiente. Estos sistemas contribuyen a una mayor eficiencia al extender la vida útil de operaciones mineras, aumentando el valor derivado de los depósitos, y reducir el número de insumos, como agua, energía, y reactivos de proceso por tonelada de producto. </w:t>
            </w:r>
          </w:p>
        </w:tc>
      </w:tr>
      <w:tr w:rsidR="00AB1C80" w:rsidRPr="00AB1C80" w14:paraId="4ABE63B3"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4A7E7983"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t xml:space="preserve">Chile </w:t>
            </w:r>
          </w:p>
        </w:tc>
        <w:tc>
          <w:tcPr>
            <w:tcW w:w="2548" w:type="dxa"/>
            <w:shd w:val="clear" w:color="auto" w:fill="auto"/>
            <w:tcMar>
              <w:top w:w="15" w:type="dxa"/>
              <w:left w:w="15" w:type="dxa"/>
              <w:bottom w:w="0" w:type="dxa"/>
              <w:right w:w="15" w:type="dxa"/>
            </w:tcMar>
            <w:vAlign w:val="center"/>
            <w:hideMark/>
          </w:tcPr>
          <w:p w14:paraId="7108790B"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Hoja de Ruta Nacional a la Economía Circular para un Chile Sin Basura 2020- 2040</w:t>
            </w:r>
          </w:p>
        </w:tc>
        <w:tc>
          <w:tcPr>
            <w:tcW w:w="1417" w:type="dxa"/>
            <w:shd w:val="clear" w:color="auto" w:fill="auto"/>
            <w:tcMar>
              <w:top w:w="15" w:type="dxa"/>
              <w:left w:w="15" w:type="dxa"/>
              <w:bottom w:w="0" w:type="dxa"/>
              <w:right w:w="15" w:type="dxa"/>
            </w:tcMar>
            <w:vAlign w:val="center"/>
            <w:hideMark/>
          </w:tcPr>
          <w:p w14:paraId="6D188EC2"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Gobierno de Chile</w:t>
            </w:r>
          </w:p>
        </w:tc>
        <w:tc>
          <w:tcPr>
            <w:tcW w:w="1153" w:type="dxa"/>
            <w:shd w:val="clear" w:color="auto" w:fill="auto"/>
            <w:tcMar>
              <w:top w:w="15" w:type="dxa"/>
              <w:left w:w="15" w:type="dxa"/>
              <w:bottom w:w="0" w:type="dxa"/>
              <w:right w:w="15" w:type="dxa"/>
            </w:tcMar>
            <w:vAlign w:val="center"/>
            <w:hideMark/>
          </w:tcPr>
          <w:p w14:paraId="62299ABE"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71224502" w14:textId="77777777" w:rsidR="006300B5" w:rsidRPr="00AB1C80" w:rsidRDefault="006300B5" w:rsidP="00533937">
            <w:pPr>
              <w:spacing w:line="276" w:lineRule="auto"/>
              <w:rPr>
                <w:rFonts w:cs="Arial"/>
                <w:sz w:val="20"/>
                <w:szCs w:val="20"/>
              </w:rPr>
            </w:pPr>
            <w:r w:rsidRPr="00AB1C80">
              <w:rPr>
                <w:rFonts w:cs="Arial"/>
                <w:sz w:val="20"/>
                <w:szCs w:val="20"/>
              </w:rPr>
              <w:t xml:space="preserve">Hasta ahora, la economía global se ha basado en un modelo lineal, en el cual se toman recursos naturales para producir productos que, luego de ser utilizados, son desechados. Este modelo es problemático, ya que supone que tanto los recursos naturales como la capacidad de absorción de residuos del planeta son infinitas. </w:t>
            </w:r>
            <w:r w:rsidRPr="00AB1C80">
              <w:rPr>
                <w:rFonts w:cs="Arial"/>
                <w:sz w:val="20"/>
                <w:szCs w:val="20"/>
              </w:rPr>
              <w:br/>
              <w:t>Esto ocurre directamente en las explotaciones mineras a nivel nacional</w:t>
            </w:r>
            <w:r w:rsidRPr="00AB1C80">
              <w:rPr>
                <w:rFonts w:cs="Arial"/>
                <w:sz w:val="20"/>
                <w:szCs w:val="20"/>
              </w:rPr>
              <w:br/>
            </w:r>
            <w:r w:rsidRPr="00AB1C80">
              <w:rPr>
                <w:rFonts w:cs="Arial"/>
                <w:sz w:val="20"/>
                <w:szCs w:val="20"/>
              </w:rPr>
              <w:lastRenderedPageBreak/>
              <w:br/>
              <w:t xml:space="preserve">Uno de los aspectos más críticos que se hace necesario abordar para acelerar la transición es la actual estructura de costos del sistema de gestión de residuos del país. Debido a que existe una serie de externalidades de la economía lineal que no llegan a reflejarse en los precios de distintos productos y servicios – entre otros, la degradación de sistemas naturales y los impactos sociales de la contaminación ambiental – la sociedad entera termina pagando los costos de las prácticas lineales, lo cual no solo es injusto, sino que, además, genera incentivos perversos que no ayudan a lograr la sostenibilidad. En la actualidad las empresas tienden a no manejar los residuos por los costos que estos generan, pero si dejan los pasivos para que los maneje el estado generando desequilibrio en las cadenas de valor y finalmente el país y la sociedad tienen que asumir estos costos. </w:t>
            </w:r>
          </w:p>
        </w:tc>
      </w:tr>
      <w:tr w:rsidR="00AB1C80" w:rsidRPr="00AB1C80" w14:paraId="0CE5CA46"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05039B2E"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lastRenderedPageBreak/>
              <w:t xml:space="preserve">Chile </w:t>
            </w:r>
          </w:p>
        </w:tc>
        <w:tc>
          <w:tcPr>
            <w:tcW w:w="2548" w:type="dxa"/>
            <w:shd w:val="clear" w:color="auto" w:fill="auto"/>
            <w:tcMar>
              <w:top w:w="15" w:type="dxa"/>
              <w:left w:w="15" w:type="dxa"/>
              <w:bottom w:w="0" w:type="dxa"/>
              <w:right w:w="15" w:type="dxa"/>
            </w:tcMar>
            <w:vAlign w:val="center"/>
            <w:hideMark/>
          </w:tcPr>
          <w:p w14:paraId="7664DC52"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La Transición hacia una Economía Circular</w:t>
            </w:r>
          </w:p>
        </w:tc>
        <w:tc>
          <w:tcPr>
            <w:tcW w:w="1417" w:type="dxa"/>
            <w:shd w:val="clear" w:color="auto" w:fill="auto"/>
            <w:tcMar>
              <w:top w:w="15" w:type="dxa"/>
              <w:left w:w="15" w:type="dxa"/>
              <w:bottom w:w="0" w:type="dxa"/>
              <w:right w:w="15" w:type="dxa"/>
            </w:tcMar>
            <w:vAlign w:val="center"/>
            <w:hideMark/>
          </w:tcPr>
          <w:p w14:paraId="166520DD"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NME</w:t>
            </w:r>
          </w:p>
        </w:tc>
        <w:tc>
          <w:tcPr>
            <w:tcW w:w="1153" w:type="dxa"/>
            <w:shd w:val="clear" w:color="auto" w:fill="auto"/>
            <w:tcMar>
              <w:top w:w="15" w:type="dxa"/>
              <w:left w:w="15" w:type="dxa"/>
              <w:bottom w:w="0" w:type="dxa"/>
              <w:right w:w="15" w:type="dxa"/>
            </w:tcMar>
            <w:vAlign w:val="center"/>
            <w:hideMark/>
          </w:tcPr>
          <w:p w14:paraId="40AA877E"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691CB201" w14:textId="77777777" w:rsidR="006300B5" w:rsidRPr="00AB1C80" w:rsidRDefault="006300B5" w:rsidP="00533937">
            <w:pPr>
              <w:spacing w:line="276" w:lineRule="auto"/>
              <w:rPr>
                <w:rFonts w:cs="Arial"/>
                <w:sz w:val="20"/>
                <w:szCs w:val="20"/>
              </w:rPr>
            </w:pPr>
            <w:r w:rsidRPr="00AB1C80">
              <w:rPr>
                <w:rFonts w:cs="Arial"/>
                <w:sz w:val="20"/>
                <w:szCs w:val="20"/>
              </w:rPr>
              <w:t>El alto nivel de consumo de los ciudadanos, sumado a las actividades industriales expandidas, en Chile se ha generado un aumento exponencial de desechos; vertederos, rellenos sanitarios y relaves mineros, es un gran ejemplo de los tipos de desperdicios con los que habita la población chilena. Por lo tanto, Chile ha tomado la iniciativita como primer país en la región en incorporar la economía circular dentro de sus contribuciones previstas y determinadas a nivel nacional, con el fin de mantener el valor de materiales y recursos durante el mayor tiempo posible.</w:t>
            </w:r>
            <w:r w:rsidRPr="00AB1C80">
              <w:rPr>
                <w:rFonts w:cs="Arial"/>
                <w:sz w:val="20"/>
                <w:szCs w:val="20"/>
              </w:rPr>
              <w:br/>
            </w:r>
            <w:r w:rsidRPr="00AB1C80">
              <w:rPr>
                <w:rFonts w:cs="Arial"/>
                <w:sz w:val="20"/>
                <w:szCs w:val="20"/>
              </w:rPr>
              <w:br/>
              <w:t>Al respecto, desde Fundación Terram afirma que la estrategia circular, presenta distintos problemas de implementación, ya que, por una parte, el reprocesamiento de depósitos mineros no cuenta con una normativa específica en Chile que lo regule, causando una serie de dificultades, Ambigüedades y disparidades de criterios para su ejecución. Por otra, parte se abren dudas sobre el tratamiento ambiental de los nuevos desechos que se generarían en este proceso, más aún si éstos son tóxicos y/o peligrosos, considerando que eventualmente se reprocesarían elementos que provienen de relaves inactivos o abandonados.</w:t>
            </w:r>
          </w:p>
        </w:tc>
      </w:tr>
      <w:tr w:rsidR="00AB1C80" w:rsidRPr="00AB1C80" w14:paraId="2C40296F"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668DA735"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t>Ecuador</w:t>
            </w:r>
          </w:p>
        </w:tc>
        <w:tc>
          <w:tcPr>
            <w:tcW w:w="2548" w:type="dxa"/>
            <w:shd w:val="clear" w:color="auto" w:fill="auto"/>
            <w:tcMar>
              <w:top w:w="15" w:type="dxa"/>
              <w:left w:w="15" w:type="dxa"/>
              <w:bottom w:w="0" w:type="dxa"/>
              <w:right w:w="15" w:type="dxa"/>
            </w:tcMar>
            <w:vAlign w:val="center"/>
            <w:hideMark/>
          </w:tcPr>
          <w:p w14:paraId="63549CE7"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Libro Blanco de Economía Circular de Ecuador</w:t>
            </w:r>
          </w:p>
        </w:tc>
        <w:tc>
          <w:tcPr>
            <w:tcW w:w="1417" w:type="dxa"/>
            <w:shd w:val="clear" w:color="auto" w:fill="auto"/>
            <w:tcMar>
              <w:top w:w="15" w:type="dxa"/>
              <w:left w:w="15" w:type="dxa"/>
              <w:bottom w:w="0" w:type="dxa"/>
              <w:right w:w="15" w:type="dxa"/>
            </w:tcMar>
            <w:vAlign w:val="center"/>
            <w:hideMark/>
          </w:tcPr>
          <w:p w14:paraId="40144566"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 xml:space="preserve">Ministerio de Producción </w:t>
            </w:r>
            <w:r w:rsidRPr="00AB1C80">
              <w:rPr>
                <w:rFonts w:cs="Arial"/>
                <w:color w:val="000000"/>
                <w:sz w:val="20"/>
                <w:szCs w:val="20"/>
              </w:rPr>
              <w:lastRenderedPageBreak/>
              <w:t>Comercio Exterior, Cooperación Alemana, Universidad San Francisco de Quito, Cebto de Innovación y Economía Circular CIEC.</w:t>
            </w:r>
          </w:p>
        </w:tc>
        <w:tc>
          <w:tcPr>
            <w:tcW w:w="1153" w:type="dxa"/>
            <w:shd w:val="clear" w:color="auto" w:fill="auto"/>
            <w:tcMar>
              <w:top w:w="15" w:type="dxa"/>
              <w:left w:w="15" w:type="dxa"/>
              <w:bottom w:w="0" w:type="dxa"/>
              <w:right w:w="15" w:type="dxa"/>
            </w:tcMar>
            <w:vAlign w:val="center"/>
            <w:hideMark/>
          </w:tcPr>
          <w:p w14:paraId="64B74114"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lastRenderedPageBreak/>
              <w:t>2021</w:t>
            </w:r>
          </w:p>
        </w:tc>
        <w:tc>
          <w:tcPr>
            <w:tcW w:w="7777" w:type="dxa"/>
            <w:shd w:val="clear" w:color="auto" w:fill="auto"/>
            <w:tcMar>
              <w:top w:w="15" w:type="dxa"/>
              <w:left w:w="15" w:type="dxa"/>
              <w:bottom w:w="0" w:type="dxa"/>
              <w:right w:w="15" w:type="dxa"/>
            </w:tcMar>
            <w:vAlign w:val="center"/>
            <w:hideMark/>
          </w:tcPr>
          <w:p w14:paraId="6548931A" w14:textId="77777777" w:rsidR="006300B5" w:rsidRPr="00AB1C80" w:rsidRDefault="006300B5" w:rsidP="00533937">
            <w:pPr>
              <w:spacing w:line="276" w:lineRule="auto"/>
              <w:rPr>
                <w:rFonts w:cs="Arial"/>
                <w:sz w:val="20"/>
                <w:szCs w:val="20"/>
              </w:rPr>
            </w:pPr>
            <w:r w:rsidRPr="00AB1C80">
              <w:rPr>
                <w:rFonts w:cs="Arial"/>
                <w:sz w:val="20"/>
                <w:szCs w:val="20"/>
              </w:rPr>
              <w:t xml:space="preserve">Como se ha venido discutiendo en otros documentos de otros países, Ecuador no se queda atrás y también parte de la iniciativa de tomar acciones proactivas para revertir el </w:t>
            </w:r>
            <w:r w:rsidRPr="00AB1C80">
              <w:rPr>
                <w:rFonts w:cs="Arial"/>
                <w:sz w:val="20"/>
                <w:szCs w:val="20"/>
              </w:rPr>
              <w:lastRenderedPageBreak/>
              <w:t>impacto negativo del modelo de economía lineal de extraer, producir, usar y desechar sobre la sociedad y el ambiente.</w:t>
            </w:r>
            <w:r w:rsidRPr="00AB1C80">
              <w:rPr>
                <w:rFonts w:cs="Arial"/>
                <w:sz w:val="20"/>
                <w:szCs w:val="20"/>
              </w:rPr>
              <w:br/>
            </w:r>
            <w:r w:rsidRPr="00AB1C80">
              <w:rPr>
                <w:rFonts w:cs="Arial"/>
                <w:sz w:val="20"/>
                <w:szCs w:val="20"/>
              </w:rPr>
              <w:br/>
              <w:t>Por este motivo, Ecuador le apuesta a la aplicación de un enfoque hacia la sostenibilidad dando un salto alterable hacia una economía circular, partiendo de la definición y principios fundamentales de la Fundación (Ellen MacArthur, 2013), referente hacia la economía circular.</w:t>
            </w:r>
            <w:r w:rsidRPr="00AB1C80">
              <w:rPr>
                <w:rFonts w:cs="Arial"/>
                <w:sz w:val="20"/>
                <w:szCs w:val="20"/>
              </w:rPr>
              <w:br/>
            </w:r>
            <w:r w:rsidRPr="00AB1C80">
              <w:rPr>
                <w:rFonts w:cs="Arial"/>
                <w:sz w:val="20"/>
                <w:szCs w:val="20"/>
              </w:rPr>
              <w:br/>
              <w:t>Como se puede evidenciar en las tablas y figuras anexadas, se nota que la información es muy somera, muy básica respecto al tema de alternativas y/o estrategias de economía circular orientadas hacia la minería a diferencia de los demás sectores económicos, la información es muy básica en cuanto a que la implementación de las actividades de economía circular pasa a ser un tema más voluntario referente a que cada proyecto minero tiene ciertas particularidades.</w:t>
            </w:r>
          </w:p>
        </w:tc>
      </w:tr>
      <w:tr w:rsidR="00AB1C80" w:rsidRPr="00AB1C80" w14:paraId="5E869BDC"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34824AC3"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lastRenderedPageBreak/>
              <w:t xml:space="preserve">Origen Internacional </w:t>
            </w:r>
          </w:p>
        </w:tc>
        <w:tc>
          <w:tcPr>
            <w:tcW w:w="2548" w:type="dxa"/>
            <w:shd w:val="clear" w:color="auto" w:fill="auto"/>
            <w:tcMar>
              <w:top w:w="15" w:type="dxa"/>
              <w:left w:w="15" w:type="dxa"/>
              <w:bottom w:w="0" w:type="dxa"/>
              <w:right w:w="15" w:type="dxa"/>
            </w:tcMar>
            <w:vAlign w:val="center"/>
            <w:hideMark/>
          </w:tcPr>
          <w:p w14:paraId="057AE09A"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Circularidad de Financiación: Desmitificando Las Finanzas para Las Economías Circulares</w:t>
            </w:r>
          </w:p>
        </w:tc>
        <w:tc>
          <w:tcPr>
            <w:tcW w:w="1417" w:type="dxa"/>
            <w:shd w:val="clear" w:color="auto" w:fill="auto"/>
            <w:tcMar>
              <w:top w:w="15" w:type="dxa"/>
              <w:left w:w="15" w:type="dxa"/>
              <w:bottom w:w="0" w:type="dxa"/>
              <w:right w:w="15" w:type="dxa"/>
            </w:tcMar>
            <w:vAlign w:val="center"/>
            <w:hideMark/>
          </w:tcPr>
          <w:p w14:paraId="56072B8B"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United Nations Environment Programme</w:t>
            </w:r>
          </w:p>
        </w:tc>
        <w:tc>
          <w:tcPr>
            <w:tcW w:w="1153" w:type="dxa"/>
            <w:shd w:val="clear" w:color="auto" w:fill="auto"/>
            <w:tcMar>
              <w:top w:w="15" w:type="dxa"/>
              <w:left w:w="15" w:type="dxa"/>
              <w:bottom w:w="0" w:type="dxa"/>
              <w:right w:w="15" w:type="dxa"/>
            </w:tcMar>
            <w:vAlign w:val="center"/>
            <w:hideMark/>
          </w:tcPr>
          <w:p w14:paraId="6C1E44CA"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6041FCA8" w14:textId="77777777" w:rsidR="006300B5" w:rsidRPr="00AB1C80" w:rsidRDefault="006300B5" w:rsidP="00533937">
            <w:pPr>
              <w:spacing w:line="276" w:lineRule="auto"/>
              <w:rPr>
                <w:rFonts w:cs="Arial"/>
                <w:sz w:val="20"/>
                <w:szCs w:val="20"/>
              </w:rPr>
            </w:pPr>
            <w:r w:rsidRPr="00AB1C80">
              <w:rPr>
                <w:rFonts w:cs="Arial"/>
                <w:sz w:val="20"/>
                <w:szCs w:val="20"/>
              </w:rPr>
              <w:t>Recomendaciones para formuladores de políticas, finanzas, reguladores y supervisores de la industria para abordar</w:t>
            </w:r>
            <w:r w:rsidRPr="00AB1C80">
              <w:rPr>
                <w:rFonts w:cs="Arial"/>
                <w:sz w:val="20"/>
                <w:szCs w:val="20"/>
              </w:rPr>
              <w:br/>
            </w:r>
            <w:r w:rsidRPr="00AB1C80">
              <w:rPr>
                <w:rFonts w:cs="Arial"/>
                <w:sz w:val="20"/>
                <w:szCs w:val="20"/>
              </w:rPr>
              <w:br/>
              <w:t>Las barreras y estimular las oportunidades incluyen:</w:t>
            </w:r>
            <w:r w:rsidRPr="00AB1C80">
              <w:rPr>
                <w:rFonts w:cs="Arial"/>
                <w:sz w:val="20"/>
                <w:szCs w:val="20"/>
              </w:rPr>
              <w:br/>
            </w:r>
            <w:r w:rsidRPr="00AB1C80">
              <w:rPr>
                <w:rFonts w:cs="Arial"/>
                <w:sz w:val="20"/>
                <w:szCs w:val="20"/>
              </w:rPr>
              <w:br/>
              <w:t>1. Integrar medidas para lograr la transición en las políticas climáticas existentes y planificadas,</w:t>
            </w:r>
            <w:r w:rsidRPr="00AB1C80">
              <w:rPr>
                <w:rFonts w:cs="Arial"/>
                <w:sz w:val="20"/>
                <w:szCs w:val="20"/>
              </w:rPr>
              <w:br/>
              <w:t>reglas y regulaciones. Mecanismos para reducir las emisiones de gases de efecto invernadero deben abordar las barreras a la circularidad en la economía. Las políticas deben tener en cuenta las superposiciones en todo el recurso y las agendas climáticas, sobre combustibles, así como sobre cómo las economías se organizan en torno a la producción de biomasa, metales y minerales no ferrosos. Esta supondrá la inclusión de los objetivos de la CE en y agendas climáticas nacionales, además de trabajar hacia la realineación de la intervención gubernamental que actualmente son contraproducentes para el Transición de la CE, como los subsidios a los combustibles fósiles.</w:t>
            </w:r>
          </w:p>
        </w:tc>
      </w:tr>
      <w:tr w:rsidR="00AB1C80" w:rsidRPr="00AB1C80" w14:paraId="752DF2C2"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6D163729"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lastRenderedPageBreak/>
              <w:t xml:space="preserve">Origen Internacional </w:t>
            </w:r>
          </w:p>
        </w:tc>
        <w:tc>
          <w:tcPr>
            <w:tcW w:w="2548" w:type="dxa"/>
            <w:shd w:val="clear" w:color="auto" w:fill="auto"/>
            <w:tcMar>
              <w:top w:w="15" w:type="dxa"/>
              <w:left w:w="15" w:type="dxa"/>
              <w:bottom w:w="0" w:type="dxa"/>
              <w:right w:w="15" w:type="dxa"/>
            </w:tcMar>
            <w:vAlign w:val="center"/>
            <w:hideMark/>
          </w:tcPr>
          <w:p w14:paraId="084F23D9"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Creciente Circularidad en Minería de África Sector Informe de Investigación Detallado</w:t>
            </w:r>
          </w:p>
        </w:tc>
        <w:tc>
          <w:tcPr>
            <w:tcW w:w="1417" w:type="dxa"/>
            <w:shd w:val="clear" w:color="auto" w:fill="auto"/>
            <w:tcMar>
              <w:top w:w="15" w:type="dxa"/>
              <w:left w:w="15" w:type="dxa"/>
              <w:bottom w:w="0" w:type="dxa"/>
              <w:right w:w="15" w:type="dxa"/>
            </w:tcMar>
            <w:vAlign w:val="center"/>
            <w:hideMark/>
          </w:tcPr>
          <w:p w14:paraId="5F1EEA5C"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 xml:space="preserve">African Circular Economy Alliance </w:t>
            </w:r>
          </w:p>
        </w:tc>
        <w:tc>
          <w:tcPr>
            <w:tcW w:w="1153" w:type="dxa"/>
            <w:shd w:val="clear" w:color="auto" w:fill="auto"/>
            <w:tcMar>
              <w:top w:w="15" w:type="dxa"/>
              <w:left w:w="15" w:type="dxa"/>
              <w:bottom w:w="0" w:type="dxa"/>
              <w:right w:w="15" w:type="dxa"/>
            </w:tcMar>
            <w:vAlign w:val="center"/>
            <w:hideMark/>
          </w:tcPr>
          <w:p w14:paraId="4011C3E8"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2018</w:t>
            </w:r>
          </w:p>
        </w:tc>
        <w:tc>
          <w:tcPr>
            <w:tcW w:w="7777" w:type="dxa"/>
            <w:shd w:val="clear" w:color="auto" w:fill="auto"/>
            <w:tcMar>
              <w:top w:w="15" w:type="dxa"/>
              <w:left w:w="15" w:type="dxa"/>
              <w:bottom w:w="0" w:type="dxa"/>
              <w:right w:w="15" w:type="dxa"/>
            </w:tcMar>
            <w:vAlign w:val="center"/>
            <w:hideMark/>
          </w:tcPr>
          <w:p w14:paraId="0495781F" w14:textId="77777777" w:rsidR="006300B5" w:rsidRPr="00AB1C80" w:rsidRDefault="006300B5" w:rsidP="00533937">
            <w:pPr>
              <w:spacing w:line="276" w:lineRule="auto"/>
              <w:rPr>
                <w:rFonts w:cs="Arial"/>
                <w:sz w:val="20"/>
                <w:szCs w:val="20"/>
              </w:rPr>
            </w:pPr>
            <w:r w:rsidRPr="00AB1C80">
              <w:rPr>
                <w:rFonts w:cs="Arial"/>
                <w:sz w:val="20"/>
                <w:szCs w:val="20"/>
              </w:rPr>
              <w:t>Este documento presenta inicialmente un esbozo de los aspectos más relevantes en la creciente circularidad de la Minería en África, donde parte de los principios fundamentales de la economía circular a nivel global. De acuerdo a las iniciativas sostenibles establecidas por la Alianza Africana de Economía Circular.</w:t>
            </w:r>
            <w:r w:rsidRPr="00AB1C80">
              <w:rPr>
                <w:rFonts w:cs="Arial"/>
                <w:sz w:val="20"/>
                <w:szCs w:val="20"/>
              </w:rPr>
              <w:br/>
            </w:r>
            <w:r w:rsidRPr="00AB1C80">
              <w:rPr>
                <w:rFonts w:cs="Arial"/>
                <w:sz w:val="20"/>
                <w:szCs w:val="20"/>
              </w:rPr>
              <w:br/>
              <w:t>Según, el reporte de la Alianza Africana de Economía Circular la mayoría de oportunidades definidos en el reporte para cada uno de los principios, particularmente se asocian más que todo a las empresas mineras de gran escala, es por ello que se requiere crear políticas, incentivos y la formalización de la Minería Artesanal y en Pequeña Escala, garantizando el crecimiento y el potencial de beneficiar a las empresas mineras a través del aumento de la eficiencia operativa y la disminución de los costos operativos.</w:t>
            </w:r>
            <w:r w:rsidRPr="00AB1C80">
              <w:rPr>
                <w:rFonts w:cs="Arial"/>
                <w:sz w:val="20"/>
                <w:szCs w:val="20"/>
              </w:rPr>
              <w:br/>
            </w:r>
            <w:r w:rsidRPr="00AB1C80">
              <w:rPr>
                <w:rFonts w:cs="Arial"/>
                <w:sz w:val="20"/>
                <w:szCs w:val="20"/>
              </w:rPr>
              <w:br/>
              <w:t>Este reporte describe el estado actual de la minería en África, razones por la cual, las empresas mineras deben alarmarse para tomar iniciativas de implementar y ejecutar sistemas de producción y consumo más eficientes en sus operaciones mineras.</w:t>
            </w:r>
          </w:p>
        </w:tc>
      </w:tr>
      <w:tr w:rsidR="00AB1C80" w:rsidRPr="00AB1C80" w14:paraId="24378672"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7EC6F0D6"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t xml:space="preserve">Origen Internacional </w:t>
            </w:r>
          </w:p>
        </w:tc>
        <w:tc>
          <w:tcPr>
            <w:tcW w:w="2548" w:type="dxa"/>
            <w:shd w:val="clear" w:color="auto" w:fill="auto"/>
            <w:tcMar>
              <w:top w:w="15" w:type="dxa"/>
              <w:left w:w="15" w:type="dxa"/>
              <w:bottom w:w="0" w:type="dxa"/>
              <w:right w:w="15" w:type="dxa"/>
            </w:tcMar>
            <w:vAlign w:val="center"/>
            <w:hideMark/>
          </w:tcPr>
          <w:p w14:paraId="31124564"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El Comercio Internacional y la Economía Circular en América Latina y el Caribe</w:t>
            </w:r>
          </w:p>
        </w:tc>
        <w:tc>
          <w:tcPr>
            <w:tcW w:w="1417" w:type="dxa"/>
            <w:shd w:val="clear" w:color="auto" w:fill="auto"/>
            <w:tcMar>
              <w:top w:w="15" w:type="dxa"/>
              <w:left w:w="15" w:type="dxa"/>
              <w:bottom w:w="0" w:type="dxa"/>
              <w:right w:w="15" w:type="dxa"/>
            </w:tcMar>
            <w:vAlign w:val="center"/>
            <w:hideMark/>
          </w:tcPr>
          <w:p w14:paraId="24FCECB7"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Coordinadores: Nanno Mulder y Manuel Albaladejo</w:t>
            </w:r>
          </w:p>
        </w:tc>
        <w:tc>
          <w:tcPr>
            <w:tcW w:w="1153" w:type="dxa"/>
            <w:shd w:val="clear" w:color="auto" w:fill="auto"/>
            <w:tcMar>
              <w:top w:w="15" w:type="dxa"/>
              <w:left w:w="15" w:type="dxa"/>
              <w:bottom w:w="0" w:type="dxa"/>
              <w:right w:w="15" w:type="dxa"/>
            </w:tcMar>
            <w:vAlign w:val="center"/>
            <w:hideMark/>
          </w:tcPr>
          <w:p w14:paraId="1611E4BA"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4780688B" w14:textId="77777777" w:rsidR="006300B5" w:rsidRPr="00AB1C80" w:rsidRDefault="006300B5" w:rsidP="00AB1C80">
            <w:pPr>
              <w:spacing w:line="276" w:lineRule="auto"/>
              <w:jc w:val="center"/>
              <w:rPr>
                <w:rFonts w:cs="Arial"/>
                <w:sz w:val="20"/>
                <w:szCs w:val="20"/>
              </w:rPr>
            </w:pPr>
            <w:r w:rsidRPr="00AB1C80">
              <w:rPr>
                <w:rFonts w:cs="Arial"/>
                <w:sz w:val="20"/>
                <w:szCs w:val="20"/>
              </w:rPr>
              <w:t>1. Se debe analizar la economía circular (EC) desde un enfoque global para promoverla y conocer los impactos internacionales que esta pueda generar.</w:t>
            </w:r>
            <w:r w:rsidRPr="00AB1C80">
              <w:rPr>
                <w:rFonts w:cs="Arial"/>
                <w:sz w:val="20"/>
                <w:szCs w:val="20"/>
              </w:rPr>
              <w:br/>
            </w:r>
            <w:r w:rsidRPr="00AB1C80">
              <w:rPr>
                <w:rFonts w:cs="Arial"/>
                <w:sz w:val="20"/>
                <w:szCs w:val="20"/>
              </w:rPr>
              <w:br/>
              <w:t xml:space="preserve">2.    Los tipos de flujos comerciales bajo la lógica de la economía circular son: </w:t>
            </w:r>
            <w:r w:rsidRPr="00AB1C80">
              <w:rPr>
                <w:rFonts w:cs="Arial"/>
                <w:sz w:val="20"/>
                <w:szCs w:val="20"/>
              </w:rPr>
              <w:br/>
              <w:t>1. Comercio de servicios: El diseño de modelos de negocios de productos como servicios (servitización) también puede crear nuevos mercados y generar un incremento en los flujos comerciales de bienes y servicios.</w:t>
            </w:r>
            <w:r w:rsidRPr="00AB1C80">
              <w:rPr>
                <w:rFonts w:cs="Arial"/>
                <w:sz w:val="20"/>
                <w:szCs w:val="20"/>
              </w:rPr>
              <w:br/>
              <w:t>Existe experiencias de economía de intercambio como lo son:</w:t>
            </w:r>
            <w:r w:rsidRPr="00AB1C80">
              <w:rPr>
                <w:rFonts w:cs="Arial"/>
                <w:sz w:val="20"/>
                <w:szCs w:val="20"/>
              </w:rPr>
              <w:br/>
              <w:t>- Sharing economy: Se basa en intercambios a nivel de comunidad (Grin Scooters)</w:t>
            </w:r>
            <w:r w:rsidRPr="00AB1C80">
              <w:rPr>
                <w:rFonts w:cs="Arial"/>
                <w:sz w:val="20"/>
                <w:szCs w:val="20"/>
              </w:rPr>
              <w:br/>
              <w:t>- Plataform economy: Donde se prima un producto como servicio (Airbnb o Uber)</w:t>
            </w:r>
            <w:r w:rsidRPr="00AB1C80">
              <w:rPr>
                <w:rFonts w:cs="Arial"/>
                <w:sz w:val="20"/>
                <w:szCs w:val="20"/>
              </w:rPr>
              <w:br/>
              <w:t>2. Comercio de bienes usados y de segunda mano Existe escasa información de este tipo de comercio debido a la dificultad de distinguir que bienes están o no en condiciones de volver a utilizar. Varias empresas importan bienes usados para su reacondicionamiento y remanufactura, un ejemplo es ropa o neumáticos usados.</w:t>
            </w:r>
            <w:r w:rsidRPr="00AB1C80">
              <w:rPr>
                <w:rFonts w:cs="Arial"/>
                <w:sz w:val="20"/>
                <w:szCs w:val="20"/>
              </w:rPr>
              <w:br/>
            </w:r>
            <w:r w:rsidRPr="00AB1C80">
              <w:rPr>
                <w:rFonts w:cs="Arial"/>
                <w:sz w:val="20"/>
                <w:szCs w:val="20"/>
              </w:rPr>
              <w:lastRenderedPageBreak/>
              <w:t>3. Comercio de bienes reacondicionados y remanufacturados Estos bienes son comercializados en el mercado interno y es difícil reexportarlo por no cumplir con estándares o requisitos de mercado internacionales.</w:t>
            </w:r>
            <w:r w:rsidRPr="00AB1C80">
              <w:rPr>
                <w:rFonts w:cs="Arial"/>
                <w:sz w:val="20"/>
                <w:szCs w:val="20"/>
              </w:rPr>
              <w:br/>
              <w:t>4. Comercio de residuo y desperdicio para su valorización: Se considera que el comercio internacional de residuos tiene una lógica circular únicamente si los residuos pueden efectivamente ser valorizados en el país receptor bajo los adecuados controles ambientales y sociales. El comercio transfronterizo de residuos se produce cuando los países optan por exportarlo, o lo hacen por no poder gestionarlos internamente.</w:t>
            </w:r>
            <w:r w:rsidRPr="00AB1C80">
              <w:rPr>
                <w:rFonts w:cs="Arial"/>
                <w:sz w:val="20"/>
                <w:szCs w:val="20"/>
              </w:rPr>
              <w:br/>
              <w:t>5. Comercio de materias primas secundarias Se basa en la sustitución de materias primas vírgenes por materias primas secundarias.</w:t>
            </w:r>
          </w:p>
        </w:tc>
      </w:tr>
      <w:tr w:rsidR="006300B5" w:rsidRPr="00AB1C80" w14:paraId="0E942121"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012D971D"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lastRenderedPageBreak/>
              <w:t xml:space="preserve">Origen Internacional </w:t>
            </w:r>
          </w:p>
        </w:tc>
        <w:tc>
          <w:tcPr>
            <w:tcW w:w="2548" w:type="dxa"/>
            <w:shd w:val="clear" w:color="auto" w:fill="auto"/>
            <w:tcMar>
              <w:top w:w="15" w:type="dxa"/>
              <w:left w:w="15" w:type="dxa"/>
              <w:bottom w:w="0" w:type="dxa"/>
              <w:right w:w="15" w:type="dxa"/>
            </w:tcMar>
            <w:vAlign w:val="center"/>
            <w:hideMark/>
          </w:tcPr>
          <w:p w14:paraId="4D0AE2E4"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La Economía Circular en América Latina y el Caribe Oportunidades para Construir Resiliencia</w:t>
            </w:r>
          </w:p>
        </w:tc>
        <w:tc>
          <w:tcPr>
            <w:tcW w:w="1417" w:type="dxa"/>
            <w:shd w:val="clear" w:color="auto" w:fill="auto"/>
            <w:noWrap/>
            <w:tcMar>
              <w:top w:w="15" w:type="dxa"/>
              <w:left w:w="15" w:type="dxa"/>
              <w:bottom w:w="0" w:type="dxa"/>
              <w:right w:w="15" w:type="dxa"/>
            </w:tcMar>
            <w:vAlign w:val="center"/>
            <w:hideMark/>
          </w:tcPr>
          <w:p w14:paraId="35AF16E0"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Patrick Schröder, Manuel Albaladejo, Pía Alonso Ribas, Melissa Macewen And Johanna Tilkanen</w:t>
            </w:r>
          </w:p>
        </w:tc>
        <w:tc>
          <w:tcPr>
            <w:tcW w:w="1153" w:type="dxa"/>
            <w:shd w:val="clear" w:color="auto" w:fill="auto"/>
            <w:tcMar>
              <w:top w:w="15" w:type="dxa"/>
              <w:left w:w="15" w:type="dxa"/>
              <w:bottom w:w="0" w:type="dxa"/>
              <w:right w:w="15" w:type="dxa"/>
            </w:tcMar>
            <w:vAlign w:val="center"/>
            <w:hideMark/>
          </w:tcPr>
          <w:p w14:paraId="190D70B6"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2020</w:t>
            </w:r>
          </w:p>
        </w:tc>
        <w:tc>
          <w:tcPr>
            <w:tcW w:w="7777" w:type="dxa"/>
            <w:shd w:val="clear" w:color="auto" w:fill="auto"/>
            <w:tcMar>
              <w:top w:w="15" w:type="dxa"/>
              <w:left w:w="15" w:type="dxa"/>
              <w:bottom w:w="0" w:type="dxa"/>
              <w:right w:w="15" w:type="dxa"/>
            </w:tcMar>
            <w:vAlign w:val="center"/>
            <w:hideMark/>
          </w:tcPr>
          <w:p w14:paraId="33A9A7B9" w14:textId="77777777" w:rsidR="006300B5" w:rsidRPr="00AB1C80" w:rsidRDefault="006300B5" w:rsidP="00533937">
            <w:pPr>
              <w:spacing w:line="276" w:lineRule="auto"/>
              <w:rPr>
                <w:rFonts w:cs="Arial"/>
                <w:sz w:val="20"/>
                <w:szCs w:val="20"/>
              </w:rPr>
            </w:pPr>
            <w:r w:rsidRPr="00AB1C80">
              <w:rPr>
                <w:rFonts w:cs="Arial"/>
                <w:sz w:val="20"/>
                <w:szCs w:val="20"/>
              </w:rPr>
              <w:t>Dar a conocer los diferentes avances de la economía circular en el sector minero y extractivo</w:t>
            </w:r>
          </w:p>
        </w:tc>
      </w:tr>
      <w:tr w:rsidR="006300B5" w:rsidRPr="00AB1C80" w14:paraId="1E35EF95" w14:textId="77777777" w:rsidTr="006300B5">
        <w:trPr>
          <w:trHeight w:val="20"/>
          <w:jc w:val="center"/>
        </w:trPr>
        <w:tc>
          <w:tcPr>
            <w:tcW w:w="1275" w:type="dxa"/>
            <w:shd w:val="clear" w:color="auto" w:fill="auto"/>
            <w:tcMar>
              <w:top w:w="15" w:type="dxa"/>
              <w:left w:w="15" w:type="dxa"/>
              <w:bottom w:w="0" w:type="dxa"/>
              <w:right w:w="15" w:type="dxa"/>
            </w:tcMar>
            <w:vAlign w:val="center"/>
            <w:hideMark/>
          </w:tcPr>
          <w:p w14:paraId="63C795F3" w14:textId="77777777" w:rsidR="006300B5" w:rsidRPr="00AB1C80" w:rsidRDefault="006300B5" w:rsidP="00AB1C80">
            <w:pPr>
              <w:spacing w:line="276" w:lineRule="auto"/>
              <w:jc w:val="center"/>
              <w:rPr>
                <w:rFonts w:cs="Arial"/>
                <w:b/>
                <w:bCs/>
                <w:color w:val="000000"/>
                <w:sz w:val="20"/>
                <w:szCs w:val="20"/>
              </w:rPr>
            </w:pPr>
            <w:r w:rsidRPr="00AB1C80">
              <w:rPr>
                <w:rFonts w:cs="Arial"/>
                <w:b/>
                <w:bCs/>
                <w:color w:val="000000"/>
                <w:sz w:val="20"/>
                <w:szCs w:val="20"/>
              </w:rPr>
              <w:t xml:space="preserve">Origen Internacional </w:t>
            </w:r>
          </w:p>
        </w:tc>
        <w:tc>
          <w:tcPr>
            <w:tcW w:w="2548" w:type="dxa"/>
            <w:shd w:val="clear" w:color="auto" w:fill="auto"/>
            <w:tcMar>
              <w:top w:w="15" w:type="dxa"/>
              <w:left w:w="15" w:type="dxa"/>
              <w:bottom w:w="0" w:type="dxa"/>
              <w:right w:w="15" w:type="dxa"/>
            </w:tcMar>
            <w:vAlign w:val="center"/>
            <w:hideMark/>
          </w:tcPr>
          <w:p w14:paraId="7AD0767F"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Minería y Metales y la Economía Circular</w:t>
            </w:r>
          </w:p>
        </w:tc>
        <w:tc>
          <w:tcPr>
            <w:tcW w:w="1417" w:type="dxa"/>
            <w:shd w:val="clear" w:color="auto" w:fill="auto"/>
            <w:tcMar>
              <w:top w:w="15" w:type="dxa"/>
              <w:left w:w="15" w:type="dxa"/>
              <w:bottom w:w="0" w:type="dxa"/>
              <w:right w:w="15" w:type="dxa"/>
            </w:tcMar>
            <w:vAlign w:val="center"/>
            <w:hideMark/>
          </w:tcPr>
          <w:p w14:paraId="2A5EE391"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ICMM Internatonal Council On Mining &amp; Metals</w:t>
            </w:r>
          </w:p>
        </w:tc>
        <w:tc>
          <w:tcPr>
            <w:tcW w:w="1153" w:type="dxa"/>
            <w:shd w:val="clear" w:color="auto" w:fill="auto"/>
            <w:noWrap/>
            <w:tcMar>
              <w:top w:w="15" w:type="dxa"/>
              <w:left w:w="15" w:type="dxa"/>
              <w:bottom w:w="0" w:type="dxa"/>
              <w:right w:w="15" w:type="dxa"/>
            </w:tcMar>
            <w:vAlign w:val="center"/>
            <w:hideMark/>
          </w:tcPr>
          <w:p w14:paraId="154D0E37" w14:textId="77777777" w:rsidR="006300B5" w:rsidRPr="00AB1C80" w:rsidRDefault="006300B5" w:rsidP="00AB1C80">
            <w:pPr>
              <w:spacing w:line="276" w:lineRule="auto"/>
              <w:jc w:val="center"/>
              <w:rPr>
                <w:rFonts w:cs="Arial"/>
                <w:color w:val="000000"/>
                <w:sz w:val="20"/>
                <w:szCs w:val="20"/>
              </w:rPr>
            </w:pPr>
            <w:r w:rsidRPr="00AB1C80">
              <w:rPr>
                <w:rFonts w:cs="Arial"/>
                <w:color w:val="000000"/>
                <w:sz w:val="20"/>
                <w:szCs w:val="20"/>
              </w:rPr>
              <w:t>2016</w:t>
            </w:r>
          </w:p>
        </w:tc>
        <w:tc>
          <w:tcPr>
            <w:tcW w:w="7777" w:type="dxa"/>
            <w:shd w:val="clear" w:color="auto" w:fill="auto"/>
            <w:tcMar>
              <w:top w:w="15" w:type="dxa"/>
              <w:left w:w="15" w:type="dxa"/>
              <w:bottom w:w="0" w:type="dxa"/>
              <w:right w:w="15" w:type="dxa"/>
            </w:tcMar>
            <w:vAlign w:val="center"/>
            <w:hideMark/>
          </w:tcPr>
          <w:p w14:paraId="482713F8" w14:textId="77777777" w:rsidR="006300B5" w:rsidRPr="00AB1C80" w:rsidRDefault="006300B5" w:rsidP="00533937">
            <w:pPr>
              <w:spacing w:line="276" w:lineRule="auto"/>
              <w:rPr>
                <w:rFonts w:cs="Arial"/>
                <w:sz w:val="20"/>
                <w:szCs w:val="20"/>
              </w:rPr>
            </w:pPr>
            <w:r w:rsidRPr="00AB1C80">
              <w:rPr>
                <w:rFonts w:cs="Arial"/>
                <w:sz w:val="20"/>
                <w:szCs w:val="20"/>
              </w:rPr>
              <w:t>McDonough y Braungart describieron dos tipos de "nutrientes" que impulsan los sistemas industriales:</w:t>
            </w:r>
            <w:r w:rsidRPr="00AB1C80">
              <w:rPr>
                <w:rFonts w:cs="Arial"/>
                <w:sz w:val="20"/>
                <w:szCs w:val="20"/>
              </w:rPr>
              <w:br/>
              <w:t>• nutrientes biológicos como alimentos, pastos, árboles y otras fuentes de fibra que en última instancia puede volver al suelo</w:t>
            </w:r>
            <w:r w:rsidRPr="00AB1C80">
              <w:rPr>
                <w:rFonts w:cs="Arial"/>
                <w:sz w:val="20"/>
                <w:szCs w:val="20"/>
              </w:rPr>
              <w:br/>
              <w:t xml:space="preserve">• nutrientes técnicos como minerales, metales y plásticos que son más adecuados para ser recuperados, reutilizados o reciclados. </w:t>
            </w:r>
            <w:r w:rsidRPr="00AB1C80">
              <w:rPr>
                <w:rFonts w:cs="Arial"/>
                <w:sz w:val="20"/>
                <w:szCs w:val="20"/>
              </w:rPr>
              <w:br/>
            </w:r>
            <w:r w:rsidRPr="00AB1C80">
              <w:rPr>
                <w:rFonts w:cs="Arial"/>
                <w:sz w:val="20"/>
                <w:szCs w:val="20"/>
              </w:rPr>
              <w:br/>
              <w:t>Según McDonough y Braungart, optimizar el uso de estos nutrientes requiere nuevos enfoques de diseño que conducirán a más Soluciones eco eficaces</w:t>
            </w:r>
          </w:p>
        </w:tc>
      </w:tr>
    </w:tbl>
    <w:p w14:paraId="13789622" w14:textId="1634DC7B" w:rsidR="00443CDB" w:rsidRPr="00AB1C80" w:rsidRDefault="006300B5" w:rsidP="00AB1C80">
      <w:pPr>
        <w:pStyle w:val="Fuente"/>
        <w:spacing w:line="276" w:lineRule="auto"/>
        <w:rPr>
          <w:rFonts w:cs="Arial"/>
          <w:lang w:val="es-CO"/>
        </w:rPr>
      </w:pPr>
      <w:r w:rsidRPr="00AB1C80">
        <w:rPr>
          <w:rFonts w:cs="Arial"/>
          <w:lang w:val="es-CO"/>
        </w:rPr>
        <w:t xml:space="preserve"> </w:t>
      </w:r>
      <w:r w:rsidR="00443CDB" w:rsidRPr="00AB1C80">
        <w:rPr>
          <w:rFonts w:cs="Arial"/>
          <w:lang w:val="es-CO"/>
        </w:rPr>
        <w:t>Fuente: ATG Ltda., 2021.</w:t>
      </w:r>
    </w:p>
    <w:p w14:paraId="142457FE" w14:textId="77777777" w:rsidR="00443CDB" w:rsidRPr="00AB1C80" w:rsidRDefault="00443CDB" w:rsidP="00AB1C80">
      <w:pPr>
        <w:pStyle w:val="Fuente"/>
        <w:spacing w:line="276" w:lineRule="auto"/>
        <w:rPr>
          <w:rFonts w:cs="Arial"/>
          <w:lang w:val="es-CO"/>
        </w:rPr>
      </w:pPr>
    </w:p>
    <w:p w14:paraId="5150633F" w14:textId="651F7FDB" w:rsidR="00443CDB" w:rsidRPr="00AB1C80" w:rsidRDefault="00443CDB" w:rsidP="00AB1C80">
      <w:pPr>
        <w:pStyle w:val="Descripcin"/>
        <w:spacing w:line="276" w:lineRule="auto"/>
        <w:rPr>
          <w:rFonts w:cs="Arial"/>
          <w:lang w:val="es-CO"/>
        </w:rPr>
      </w:pPr>
      <w:bookmarkStart w:id="123" w:name="_Ref86257924"/>
      <w:bookmarkStart w:id="124" w:name="_Toc86333035"/>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30</w:t>
      </w:r>
      <w:r w:rsidRPr="00AB1C80">
        <w:rPr>
          <w:rFonts w:cs="Arial"/>
          <w:lang w:val="es-CO"/>
        </w:rPr>
        <w:fldChar w:fldCharType="end"/>
      </w:r>
      <w:bookmarkEnd w:id="123"/>
      <w:r w:rsidRPr="00AB1C80">
        <w:rPr>
          <w:rFonts w:cs="Arial"/>
          <w:lang w:val="es-CO"/>
        </w:rPr>
        <w:t>. Revisión de información internacional por presentación para economía circular.</w:t>
      </w:r>
      <w:bookmarkEnd w:id="124"/>
    </w:p>
    <w:tbl>
      <w:tblPr>
        <w:tblW w:w="14175" w:type="dxa"/>
        <w:tblInd w:w="-572" w:type="dxa"/>
        <w:tblCellMar>
          <w:left w:w="0" w:type="dxa"/>
          <w:right w:w="0" w:type="dxa"/>
        </w:tblCellMar>
        <w:tblLook w:val="04A0" w:firstRow="1" w:lastRow="0" w:firstColumn="1" w:lastColumn="0" w:noHBand="0" w:noVBand="1"/>
      </w:tblPr>
      <w:tblGrid>
        <w:gridCol w:w="1276"/>
        <w:gridCol w:w="2552"/>
        <w:gridCol w:w="1412"/>
        <w:gridCol w:w="1153"/>
        <w:gridCol w:w="7782"/>
      </w:tblGrid>
      <w:tr w:rsidR="00864B6F" w:rsidRPr="00AB1C80" w14:paraId="49460430" w14:textId="77777777" w:rsidTr="00864B6F">
        <w:trPr>
          <w:trHeight w:val="20"/>
        </w:trPr>
        <w:tc>
          <w:tcPr>
            <w:tcW w:w="1276"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7586205F" w14:textId="77777777" w:rsidR="00864B6F" w:rsidRPr="00AB1C80" w:rsidRDefault="00864B6F"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552"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3594D3CC" w14:textId="77777777" w:rsidR="00864B6F" w:rsidRPr="00AB1C80" w:rsidRDefault="00864B6F"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412"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298E198B" w14:textId="77777777" w:rsidR="00864B6F" w:rsidRPr="00AB1C80" w:rsidRDefault="00864B6F"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153"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4B76BA91" w14:textId="77777777" w:rsidR="00864B6F" w:rsidRPr="00AB1C80" w:rsidRDefault="00864B6F"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82"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24E03B0C" w14:textId="77777777" w:rsidR="00864B6F" w:rsidRPr="00AB1C80" w:rsidRDefault="00864B6F"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864B6F" w:rsidRPr="00AB1C80" w14:paraId="48FD272A" w14:textId="77777777" w:rsidTr="00864B6F">
        <w:trPr>
          <w:trHeight w:val="20"/>
        </w:trPr>
        <w:tc>
          <w:tcPr>
            <w:tcW w:w="127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E1B948F" w14:textId="77777777" w:rsidR="00864B6F" w:rsidRPr="00AB1C80" w:rsidRDefault="00864B6F" w:rsidP="00AB1C80">
            <w:pPr>
              <w:spacing w:line="276" w:lineRule="auto"/>
              <w:jc w:val="center"/>
              <w:rPr>
                <w:rFonts w:cs="Arial"/>
                <w:b/>
                <w:bCs/>
                <w:color w:val="000000"/>
                <w:sz w:val="20"/>
                <w:szCs w:val="20"/>
              </w:rPr>
            </w:pPr>
            <w:r w:rsidRPr="00AB1C80">
              <w:rPr>
                <w:rFonts w:cs="Arial"/>
                <w:b/>
                <w:bCs/>
                <w:color w:val="000000"/>
                <w:sz w:val="20"/>
                <w:szCs w:val="20"/>
              </w:rPr>
              <w:t>Brasil</w:t>
            </w:r>
          </w:p>
        </w:tc>
        <w:tc>
          <w:tcPr>
            <w:tcW w:w="25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31EF3BD" w14:textId="77777777" w:rsidR="00864B6F" w:rsidRPr="00AB1C80" w:rsidRDefault="00864B6F" w:rsidP="00AB1C80">
            <w:pPr>
              <w:spacing w:line="276" w:lineRule="auto"/>
              <w:jc w:val="center"/>
              <w:rPr>
                <w:rFonts w:cs="Arial"/>
                <w:color w:val="000000"/>
                <w:sz w:val="20"/>
                <w:szCs w:val="20"/>
              </w:rPr>
            </w:pPr>
            <w:r w:rsidRPr="00AB1C80">
              <w:rPr>
                <w:rFonts w:cs="Arial"/>
                <w:color w:val="000000"/>
                <w:sz w:val="20"/>
                <w:szCs w:val="20"/>
              </w:rPr>
              <w:t>La Economía Circular y el Papel de la Minería</w:t>
            </w:r>
          </w:p>
        </w:tc>
        <w:tc>
          <w:tcPr>
            <w:tcW w:w="14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5795F91" w14:textId="77777777" w:rsidR="00864B6F" w:rsidRPr="00AB1C80" w:rsidRDefault="00864B6F" w:rsidP="00AB1C80">
            <w:pPr>
              <w:spacing w:line="276" w:lineRule="auto"/>
              <w:jc w:val="center"/>
              <w:rPr>
                <w:rFonts w:cs="Arial"/>
                <w:color w:val="000000"/>
                <w:sz w:val="20"/>
                <w:szCs w:val="20"/>
              </w:rPr>
            </w:pPr>
            <w:r w:rsidRPr="00AB1C80">
              <w:rPr>
                <w:rFonts w:cs="Arial"/>
                <w:color w:val="000000"/>
                <w:sz w:val="20"/>
                <w:szCs w:val="20"/>
              </w:rPr>
              <w:t>Ana Cristina Ribeiro-Duthie - VI Jornada PCI</w:t>
            </w:r>
          </w:p>
        </w:tc>
        <w:tc>
          <w:tcPr>
            <w:tcW w:w="115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C542992" w14:textId="77777777" w:rsidR="00864B6F" w:rsidRPr="00AB1C80" w:rsidRDefault="00864B6F" w:rsidP="00AB1C80">
            <w:pPr>
              <w:spacing w:line="276" w:lineRule="auto"/>
              <w:jc w:val="center"/>
              <w:rPr>
                <w:rFonts w:cs="Arial"/>
                <w:color w:val="000000"/>
                <w:sz w:val="20"/>
                <w:szCs w:val="20"/>
              </w:rPr>
            </w:pPr>
            <w:r w:rsidRPr="00AB1C80">
              <w:rPr>
                <w:rFonts w:cs="Arial"/>
                <w:color w:val="000000"/>
                <w:sz w:val="20"/>
                <w:szCs w:val="20"/>
              </w:rPr>
              <w:t>2018</w:t>
            </w:r>
          </w:p>
        </w:tc>
        <w:tc>
          <w:tcPr>
            <w:tcW w:w="778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CBB575" w14:textId="77777777" w:rsidR="00864B6F" w:rsidRPr="00AB1C80" w:rsidRDefault="00864B6F" w:rsidP="00533937">
            <w:pPr>
              <w:spacing w:line="276" w:lineRule="auto"/>
              <w:rPr>
                <w:rFonts w:cs="Arial"/>
                <w:sz w:val="20"/>
                <w:szCs w:val="20"/>
              </w:rPr>
            </w:pPr>
            <w:r w:rsidRPr="00AB1C80">
              <w:rPr>
                <w:rFonts w:cs="Arial"/>
                <w:sz w:val="20"/>
                <w:szCs w:val="20"/>
              </w:rPr>
              <w:t>No obstante ser una presentación, con carácter resumido, ilustra bien sobre diversos aspectos claves del papel de la minería en los procesos de Economía Circular.</w:t>
            </w:r>
          </w:p>
        </w:tc>
      </w:tr>
    </w:tbl>
    <w:p w14:paraId="13FC35AA" w14:textId="32D4520C" w:rsidR="00443CDB" w:rsidRPr="00AB1C80" w:rsidRDefault="00864B6F" w:rsidP="00AB1C80">
      <w:pPr>
        <w:pStyle w:val="Fuente"/>
        <w:spacing w:line="276" w:lineRule="auto"/>
        <w:rPr>
          <w:rFonts w:cs="Arial"/>
          <w:lang w:val="es-CO"/>
        </w:rPr>
      </w:pPr>
      <w:r w:rsidRPr="00AB1C80">
        <w:rPr>
          <w:rFonts w:cs="Arial"/>
          <w:lang w:val="es-CO"/>
        </w:rPr>
        <w:t xml:space="preserve"> </w:t>
      </w:r>
      <w:r w:rsidR="00443CDB" w:rsidRPr="00AB1C80">
        <w:rPr>
          <w:rFonts w:cs="Arial"/>
          <w:lang w:val="es-CO"/>
        </w:rPr>
        <w:t>Fuente: ATG Ltda., 2021.</w:t>
      </w:r>
    </w:p>
    <w:p w14:paraId="4DA38310" w14:textId="77777777" w:rsidR="00443CDB" w:rsidRPr="00AB1C80" w:rsidRDefault="00443CDB" w:rsidP="00AB1C80">
      <w:pPr>
        <w:pStyle w:val="Fuente"/>
        <w:spacing w:line="276" w:lineRule="auto"/>
        <w:rPr>
          <w:rFonts w:cs="Arial"/>
          <w:lang w:val="es-CO"/>
        </w:rPr>
      </w:pPr>
    </w:p>
    <w:p w14:paraId="14E7E185" w14:textId="632CF675" w:rsidR="00443CDB" w:rsidRPr="00AB1C80" w:rsidRDefault="00443CDB" w:rsidP="00AB1C80">
      <w:pPr>
        <w:pStyle w:val="Descripcin"/>
        <w:spacing w:line="276" w:lineRule="auto"/>
        <w:rPr>
          <w:rFonts w:cs="Arial"/>
          <w:lang w:val="es-CO"/>
        </w:rPr>
      </w:pPr>
      <w:bookmarkStart w:id="125" w:name="_Ref86257926"/>
      <w:bookmarkStart w:id="126" w:name="_Toc86333036"/>
      <w:r w:rsidRPr="00AB1C80">
        <w:rPr>
          <w:rFonts w:cs="Arial"/>
          <w:lang w:val="es-CO"/>
        </w:rPr>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31</w:t>
      </w:r>
      <w:r w:rsidRPr="00AB1C80">
        <w:rPr>
          <w:rFonts w:cs="Arial"/>
          <w:lang w:val="es-CO"/>
        </w:rPr>
        <w:fldChar w:fldCharType="end"/>
      </w:r>
      <w:bookmarkEnd w:id="125"/>
      <w:r w:rsidRPr="00AB1C80">
        <w:rPr>
          <w:rFonts w:cs="Arial"/>
          <w:lang w:val="es-CO"/>
        </w:rPr>
        <w:t>. Revisión de información internacional por tesis para economía circular.</w:t>
      </w:r>
      <w:bookmarkEnd w:id="126"/>
    </w:p>
    <w:tbl>
      <w:tblPr>
        <w:tblW w:w="14175" w:type="dxa"/>
        <w:tblInd w:w="-572" w:type="dxa"/>
        <w:tblCellMar>
          <w:left w:w="0" w:type="dxa"/>
          <w:right w:w="0" w:type="dxa"/>
        </w:tblCellMar>
        <w:tblLook w:val="04A0" w:firstRow="1" w:lastRow="0" w:firstColumn="1" w:lastColumn="0" w:noHBand="0" w:noVBand="1"/>
      </w:tblPr>
      <w:tblGrid>
        <w:gridCol w:w="1276"/>
        <w:gridCol w:w="2552"/>
        <w:gridCol w:w="1383"/>
        <w:gridCol w:w="1168"/>
        <w:gridCol w:w="7796"/>
      </w:tblGrid>
      <w:tr w:rsidR="00AB1C80" w:rsidRPr="00AB1C80" w14:paraId="3C7EB671" w14:textId="77777777" w:rsidTr="00D81CBD">
        <w:trPr>
          <w:trHeight w:val="20"/>
          <w:tblHeader/>
        </w:trPr>
        <w:tc>
          <w:tcPr>
            <w:tcW w:w="1276" w:type="dxa"/>
            <w:tcBorders>
              <w:top w:val="single" w:sz="4" w:space="0" w:color="auto"/>
              <w:left w:val="single" w:sz="4" w:space="0" w:color="auto"/>
              <w:bottom w:val="single" w:sz="4" w:space="0" w:color="auto"/>
              <w:right w:val="single" w:sz="4" w:space="0" w:color="auto"/>
            </w:tcBorders>
            <w:shd w:val="clear" w:color="1E345C" w:fill="1E345C"/>
            <w:tcMar>
              <w:top w:w="15" w:type="dxa"/>
              <w:left w:w="15" w:type="dxa"/>
              <w:bottom w:w="0" w:type="dxa"/>
              <w:right w:w="15" w:type="dxa"/>
            </w:tcMar>
            <w:vAlign w:val="center"/>
            <w:hideMark/>
          </w:tcPr>
          <w:p w14:paraId="29B0177A" w14:textId="77777777" w:rsidR="00D81CBD" w:rsidRPr="00AB1C80" w:rsidRDefault="00D81CBD" w:rsidP="00AB1C80">
            <w:pPr>
              <w:spacing w:line="276" w:lineRule="auto"/>
              <w:jc w:val="center"/>
              <w:rPr>
                <w:rFonts w:cs="Arial"/>
                <w:b/>
                <w:bCs/>
                <w:color w:val="FFFFFF"/>
                <w:sz w:val="20"/>
                <w:szCs w:val="20"/>
              </w:rPr>
            </w:pPr>
            <w:r w:rsidRPr="00AB1C80">
              <w:rPr>
                <w:rFonts w:cs="Arial"/>
                <w:b/>
                <w:bCs/>
                <w:color w:val="FFFFFF"/>
                <w:sz w:val="20"/>
                <w:szCs w:val="20"/>
              </w:rPr>
              <w:t xml:space="preserve">País </w:t>
            </w:r>
          </w:p>
        </w:tc>
        <w:tc>
          <w:tcPr>
            <w:tcW w:w="2552"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63816242" w14:textId="77777777" w:rsidR="00D81CBD" w:rsidRPr="00AB1C80" w:rsidRDefault="00D81CBD" w:rsidP="00AB1C80">
            <w:pPr>
              <w:spacing w:line="276" w:lineRule="auto"/>
              <w:jc w:val="center"/>
              <w:rPr>
                <w:rFonts w:cs="Arial"/>
                <w:b/>
                <w:bCs/>
                <w:color w:val="FFFFFF"/>
                <w:sz w:val="20"/>
                <w:szCs w:val="20"/>
              </w:rPr>
            </w:pPr>
            <w:r w:rsidRPr="00AB1C80">
              <w:rPr>
                <w:rFonts w:cs="Arial"/>
                <w:b/>
                <w:bCs/>
                <w:color w:val="FFFFFF"/>
                <w:sz w:val="20"/>
                <w:szCs w:val="20"/>
              </w:rPr>
              <w:t>Nombre del Documento</w:t>
            </w:r>
          </w:p>
        </w:tc>
        <w:tc>
          <w:tcPr>
            <w:tcW w:w="1383"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75A36DFE" w14:textId="77777777" w:rsidR="00D81CBD" w:rsidRPr="00AB1C80" w:rsidRDefault="00D81CBD" w:rsidP="00AB1C80">
            <w:pPr>
              <w:spacing w:line="276" w:lineRule="auto"/>
              <w:jc w:val="center"/>
              <w:rPr>
                <w:rFonts w:cs="Arial"/>
                <w:b/>
                <w:bCs/>
                <w:color w:val="FFFFFF"/>
                <w:sz w:val="20"/>
                <w:szCs w:val="20"/>
              </w:rPr>
            </w:pPr>
            <w:r w:rsidRPr="00AB1C80">
              <w:rPr>
                <w:rFonts w:cs="Arial"/>
                <w:b/>
                <w:bCs/>
                <w:color w:val="FFFFFF"/>
                <w:sz w:val="20"/>
                <w:szCs w:val="20"/>
              </w:rPr>
              <w:t>Autor(es)</w:t>
            </w:r>
          </w:p>
        </w:tc>
        <w:tc>
          <w:tcPr>
            <w:tcW w:w="1168"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19BF9852" w14:textId="77777777" w:rsidR="00D81CBD" w:rsidRPr="00AB1C80" w:rsidRDefault="00D81CBD" w:rsidP="00AB1C80">
            <w:pPr>
              <w:spacing w:line="276" w:lineRule="auto"/>
              <w:jc w:val="center"/>
              <w:rPr>
                <w:rFonts w:cs="Arial"/>
                <w:b/>
                <w:bCs/>
                <w:color w:val="FFFFFF"/>
                <w:sz w:val="20"/>
                <w:szCs w:val="20"/>
              </w:rPr>
            </w:pPr>
            <w:r w:rsidRPr="00AB1C80">
              <w:rPr>
                <w:rFonts w:cs="Arial"/>
                <w:b/>
                <w:bCs/>
                <w:color w:val="FFFFFF"/>
                <w:sz w:val="20"/>
                <w:szCs w:val="20"/>
              </w:rPr>
              <w:t>Año de Publicación</w:t>
            </w:r>
          </w:p>
        </w:tc>
        <w:tc>
          <w:tcPr>
            <w:tcW w:w="7796" w:type="dxa"/>
            <w:tcBorders>
              <w:top w:val="single" w:sz="4" w:space="0" w:color="auto"/>
              <w:left w:val="nil"/>
              <w:bottom w:val="single" w:sz="4" w:space="0" w:color="auto"/>
              <w:right w:val="single" w:sz="4" w:space="0" w:color="auto"/>
            </w:tcBorders>
            <w:shd w:val="clear" w:color="1E345C" w:fill="1E345C"/>
            <w:tcMar>
              <w:top w:w="15" w:type="dxa"/>
              <w:left w:w="15" w:type="dxa"/>
              <w:bottom w:w="0" w:type="dxa"/>
              <w:right w:w="15" w:type="dxa"/>
            </w:tcMar>
            <w:vAlign w:val="center"/>
            <w:hideMark/>
          </w:tcPr>
          <w:p w14:paraId="66433CC1" w14:textId="77777777" w:rsidR="00D81CBD" w:rsidRPr="00AB1C80" w:rsidRDefault="00D81CBD" w:rsidP="00AB1C80">
            <w:pPr>
              <w:spacing w:line="276" w:lineRule="auto"/>
              <w:jc w:val="center"/>
              <w:rPr>
                <w:rFonts w:cs="Arial"/>
                <w:b/>
                <w:bCs/>
                <w:color w:val="FFFFFF"/>
                <w:sz w:val="20"/>
                <w:szCs w:val="20"/>
              </w:rPr>
            </w:pPr>
            <w:r w:rsidRPr="00AB1C80">
              <w:rPr>
                <w:rFonts w:cs="Arial"/>
                <w:b/>
                <w:bCs/>
                <w:color w:val="FFFFFF"/>
                <w:sz w:val="20"/>
                <w:szCs w:val="20"/>
              </w:rPr>
              <w:t>Análisis, critica e interpretación</w:t>
            </w:r>
          </w:p>
        </w:tc>
      </w:tr>
      <w:tr w:rsidR="00D81CBD" w:rsidRPr="00AB1C80" w14:paraId="5303144B" w14:textId="77777777" w:rsidTr="00D81CBD">
        <w:trPr>
          <w:trHeight w:val="20"/>
        </w:trPr>
        <w:tc>
          <w:tcPr>
            <w:tcW w:w="127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29F054" w14:textId="77777777" w:rsidR="00D81CBD" w:rsidRPr="00AB1C80" w:rsidRDefault="00D81CBD" w:rsidP="00AB1C80">
            <w:pPr>
              <w:spacing w:line="276" w:lineRule="auto"/>
              <w:jc w:val="center"/>
              <w:rPr>
                <w:rFonts w:cs="Arial"/>
                <w:b/>
                <w:bCs/>
                <w:color w:val="000000"/>
                <w:sz w:val="20"/>
                <w:szCs w:val="20"/>
              </w:rPr>
            </w:pPr>
            <w:r w:rsidRPr="00AB1C80">
              <w:rPr>
                <w:rFonts w:cs="Arial"/>
                <w:b/>
                <w:bCs/>
                <w:color w:val="000000"/>
                <w:sz w:val="20"/>
                <w:szCs w:val="20"/>
              </w:rPr>
              <w:t xml:space="preserve">Chile </w:t>
            </w:r>
          </w:p>
        </w:tc>
        <w:tc>
          <w:tcPr>
            <w:tcW w:w="25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F5BA35"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Diseño de Procesos para Recuperar Oro y Plata desde el Depósito de Relaves de Minera Meridian</w:t>
            </w:r>
          </w:p>
        </w:tc>
        <w:tc>
          <w:tcPr>
            <w:tcW w:w="138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8F5481C"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Jorge Andrews Estrada</w:t>
            </w:r>
          </w:p>
        </w:tc>
        <w:tc>
          <w:tcPr>
            <w:tcW w:w="116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DC579B"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2012</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4198B55" w14:textId="77777777" w:rsidR="00D81CBD" w:rsidRPr="00AB1C80" w:rsidRDefault="00D81CBD" w:rsidP="00533937">
            <w:pPr>
              <w:spacing w:line="276" w:lineRule="auto"/>
              <w:rPr>
                <w:rFonts w:cs="Arial"/>
                <w:sz w:val="20"/>
                <w:szCs w:val="20"/>
              </w:rPr>
            </w:pPr>
            <w:r w:rsidRPr="00AB1C80">
              <w:rPr>
                <w:rFonts w:cs="Arial"/>
                <w:sz w:val="20"/>
                <w:szCs w:val="20"/>
              </w:rPr>
              <w:t>Minera Meridian, Faena El Peñón pertenece desde el año 2006 al grupo Yamana Gold, produce Metal Doré a través de la extracción de oro y plata desde minerales por el método Merrill-Crowe. La planta de beneficio de “El Peñón” está diseñada para el tratamiento de 4400 toneladas de mineral por día, que es alimentada desde una combinación de minerales provenientes de minas a rajo abierto y subterráneas.</w:t>
            </w:r>
            <w:r w:rsidRPr="00AB1C80">
              <w:rPr>
                <w:rFonts w:cs="Arial"/>
                <w:sz w:val="20"/>
                <w:szCs w:val="20"/>
              </w:rPr>
              <w:br/>
            </w:r>
            <w:r w:rsidRPr="00AB1C80">
              <w:rPr>
                <w:rFonts w:cs="Arial"/>
                <w:sz w:val="20"/>
                <w:szCs w:val="20"/>
              </w:rPr>
              <w:br/>
              <w:t>El proceso productivo será el mismo que se utiliza actualmente para recuperar oro y plata desde el mineral nuevo procedente de la mina, con la diferencia que este comenzará en la etapa de remolienda del mineral eliminando la etapa de chancado y sustituyendo la de molienda.</w:t>
            </w:r>
          </w:p>
        </w:tc>
      </w:tr>
      <w:tr w:rsidR="00D81CBD" w:rsidRPr="00AB1C80" w14:paraId="0ED3645C" w14:textId="77777777" w:rsidTr="00D81CBD">
        <w:trPr>
          <w:trHeight w:val="20"/>
        </w:trPr>
        <w:tc>
          <w:tcPr>
            <w:tcW w:w="127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82E67F9" w14:textId="77777777" w:rsidR="00D81CBD" w:rsidRPr="00AB1C80" w:rsidRDefault="00D81CBD" w:rsidP="00AB1C80">
            <w:pPr>
              <w:spacing w:line="276" w:lineRule="auto"/>
              <w:jc w:val="center"/>
              <w:rPr>
                <w:rFonts w:cs="Arial"/>
                <w:b/>
                <w:bCs/>
                <w:color w:val="000000"/>
                <w:sz w:val="20"/>
                <w:szCs w:val="20"/>
              </w:rPr>
            </w:pPr>
            <w:r w:rsidRPr="00AB1C80">
              <w:rPr>
                <w:rFonts w:cs="Arial"/>
                <w:b/>
                <w:bCs/>
                <w:color w:val="000000"/>
                <w:sz w:val="20"/>
                <w:szCs w:val="20"/>
              </w:rPr>
              <w:t>Finlandia</w:t>
            </w:r>
          </w:p>
        </w:tc>
        <w:tc>
          <w:tcPr>
            <w:tcW w:w="25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757966B"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Economía Circular Hacia la Minería Industrial</w:t>
            </w:r>
          </w:p>
        </w:tc>
        <w:tc>
          <w:tcPr>
            <w:tcW w:w="138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6327458" w14:textId="77777777" w:rsidR="00D81CBD" w:rsidRPr="00AB1C80" w:rsidRDefault="00D81CBD" w:rsidP="00AB1C80">
            <w:pPr>
              <w:spacing w:line="276" w:lineRule="auto"/>
              <w:jc w:val="center"/>
              <w:rPr>
                <w:rFonts w:cs="Arial"/>
                <w:color w:val="202124"/>
                <w:sz w:val="20"/>
                <w:szCs w:val="20"/>
              </w:rPr>
            </w:pPr>
            <w:r w:rsidRPr="00AB1C80">
              <w:rPr>
                <w:rFonts w:cs="Arial"/>
                <w:color w:val="202124"/>
                <w:sz w:val="20"/>
                <w:szCs w:val="20"/>
              </w:rPr>
              <w:t>Tampere University - Päivi Kinnunen</w:t>
            </w:r>
          </w:p>
        </w:tc>
        <w:tc>
          <w:tcPr>
            <w:tcW w:w="116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8A615E7"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2019</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6A33921" w14:textId="77777777" w:rsidR="00D81CBD" w:rsidRPr="00AB1C80" w:rsidRDefault="00D81CBD" w:rsidP="00533937">
            <w:pPr>
              <w:spacing w:line="276" w:lineRule="auto"/>
              <w:rPr>
                <w:rFonts w:cs="Arial"/>
                <w:sz w:val="20"/>
                <w:szCs w:val="20"/>
              </w:rPr>
            </w:pPr>
            <w:r w:rsidRPr="00AB1C80">
              <w:rPr>
                <w:rFonts w:cs="Arial"/>
                <w:sz w:val="20"/>
                <w:szCs w:val="20"/>
              </w:rPr>
              <w:t xml:space="preserve">Es interesante tener en cuenta, que la economía circular juega un papel importante dentro de los 17 Objetivos de Desarrollo Sostenible, ya que es el impulso para crear modelos de negocio que respondan a los fundamentos del desarrollo sostenible. Particularmente la extracción de relaves mineros puede minimizar la cantidad de residuos y, por lo tanto, contribuir especialmente al objetivo número 11 “Ciudades y Comunidades Sostenibles” y al objetivo número 12 “Producción y Consumo Responsables”.  </w:t>
            </w:r>
            <w:r w:rsidRPr="00AB1C80">
              <w:rPr>
                <w:rFonts w:cs="Arial"/>
                <w:sz w:val="20"/>
                <w:szCs w:val="20"/>
              </w:rPr>
              <w:br/>
            </w:r>
            <w:r w:rsidRPr="00AB1C80">
              <w:rPr>
                <w:rFonts w:cs="Arial"/>
                <w:sz w:val="20"/>
                <w:szCs w:val="20"/>
              </w:rPr>
              <w:br/>
              <w:t xml:space="preserve">El "Reducir" puede ser la explotación eficiente de los recursos, mejorando tasa de recuperación mejorando total de recursos y reduciendo contaminantes como los relaves, </w:t>
            </w:r>
            <w:r w:rsidRPr="00AB1C80">
              <w:rPr>
                <w:rFonts w:cs="Arial"/>
                <w:sz w:val="20"/>
                <w:szCs w:val="20"/>
              </w:rPr>
              <w:lastRenderedPageBreak/>
              <w:t>ganga y aguas residuales que son de gran impacto.</w:t>
            </w:r>
            <w:r w:rsidRPr="00AB1C80">
              <w:rPr>
                <w:rFonts w:cs="Arial"/>
                <w:sz w:val="20"/>
                <w:szCs w:val="20"/>
              </w:rPr>
              <w:br/>
            </w:r>
            <w:r w:rsidRPr="00AB1C80">
              <w:rPr>
                <w:rFonts w:cs="Arial"/>
                <w:sz w:val="20"/>
                <w:szCs w:val="20"/>
              </w:rPr>
              <w:br/>
              <w:t>Mientras, la "Reutilización" puede ser el reciclaje de las aguas residuales de la mina y el cambio de relaves y residuos mineros en objetos de valor. Se pueden recuperar metales valiosos y la matriz mineral se puede utilizar en producir nuevas sustancias como materiales de construcción. Así mismo el "Reciclar" significa reutilizar los recursos nuevamente de materiales secundarios</w:t>
            </w:r>
            <w:r w:rsidRPr="00AB1C80">
              <w:rPr>
                <w:rFonts w:cs="Arial"/>
                <w:sz w:val="20"/>
                <w:szCs w:val="20"/>
              </w:rPr>
              <w:br/>
              <w:t>Como conclusión, el estudio contribuyo al conocimiento científico y práctico de la influencia de varios factores en el enfoque de la economía circular en la industria minera.</w:t>
            </w:r>
          </w:p>
        </w:tc>
      </w:tr>
      <w:tr w:rsidR="00D81CBD" w:rsidRPr="00AB1C80" w14:paraId="227DA242" w14:textId="77777777" w:rsidTr="00D81CBD">
        <w:trPr>
          <w:trHeight w:val="20"/>
        </w:trPr>
        <w:tc>
          <w:tcPr>
            <w:tcW w:w="127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EBDC7D4" w14:textId="77777777" w:rsidR="00D81CBD" w:rsidRPr="00AB1C80" w:rsidRDefault="00D81CBD" w:rsidP="00AB1C80">
            <w:pPr>
              <w:spacing w:line="276" w:lineRule="auto"/>
              <w:jc w:val="center"/>
              <w:rPr>
                <w:rFonts w:cs="Arial"/>
                <w:b/>
                <w:bCs/>
                <w:color w:val="000000"/>
                <w:sz w:val="20"/>
                <w:szCs w:val="20"/>
              </w:rPr>
            </w:pPr>
            <w:r w:rsidRPr="00AB1C80">
              <w:rPr>
                <w:rFonts w:cs="Arial"/>
                <w:b/>
                <w:bCs/>
                <w:color w:val="000000"/>
                <w:sz w:val="20"/>
                <w:szCs w:val="20"/>
              </w:rPr>
              <w:lastRenderedPageBreak/>
              <w:t>Perú</w:t>
            </w:r>
          </w:p>
        </w:tc>
        <w:tc>
          <w:tcPr>
            <w:tcW w:w="25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1A808E0"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Propuesta de Uso de Relaves de Mina Polimetálica en la Fabricación de Unidades de Albañilería - Caso Ex Unidad Minera Mercedes 3</w:t>
            </w:r>
          </w:p>
        </w:tc>
        <w:tc>
          <w:tcPr>
            <w:tcW w:w="138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66952B1" w14:textId="77777777" w:rsidR="00D81CBD" w:rsidRPr="00AB1C80" w:rsidRDefault="00D81CBD" w:rsidP="00AB1C80">
            <w:pPr>
              <w:spacing w:line="276" w:lineRule="auto"/>
              <w:jc w:val="center"/>
              <w:rPr>
                <w:rFonts w:cs="Arial"/>
                <w:color w:val="202124"/>
                <w:sz w:val="20"/>
                <w:szCs w:val="20"/>
              </w:rPr>
            </w:pPr>
            <w:r w:rsidRPr="00AB1C80">
              <w:rPr>
                <w:rFonts w:cs="Arial"/>
                <w:color w:val="202124"/>
                <w:sz w:val="20"/>
                <w:szCs w:val="20"/>
              </w:rPr>
              <w:t>Felix José Cárdenas Ticlavilca</w:t>
            </w:r>
          </w:p>
        </w:tc>
        <w:tc>
          <w:tcPr>
            <w:tcW w:w="116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196178E"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2019</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61298D2" w14:textId="77777777" w:rsidR="00D81CBD" w:rsidRPr="00AB1C80" w:rsidRDefault="00D81CBD" w:rsidP="00533937">
            <w:pPr>
              <w:spacing w:line="276" w:lineRule="auto"/>
              <w:rPr>
                <w:rFonts w:cs="Arial"/>
                <w:sz w:val="20"/>
                <w:szCs w:val="20"/>
              </w:rPr>
            </w:pPr>
            <w:r w:rsidRPr="00AB1C80">
              <w:rPr>
                <w:rFonts w:cs="Arial"/>
                <w:sz w:val="20"/>
                <w:szCs w:val="20"/>
              </w:rPr>
              <w:t>Este estudio evaluó la posibilidad de reemplazar completamente los agregados convencionales en el concreto con los relaves de las minas de mineral de hierro producidos en Australia Occidental para obtener los mismos o mejores resultados para las especificaciones técnicas. En el estudio, se utilizaron agregados convencionales y de relaves para la comparación. Se utilizó un diseño de mezcla de concreto de 40 MPa y una relación agua-cemento de 0.5.</w:t>
            </w:r>
            <w:r w:rsidRPr="00AB1C80">
              <w:rPr>
                <w:rFonts w:cs="Arial"/>
                <w:sz w:val="20"/>
                <w:szCs w:val="20"/>
              </w:rPr>
              <w:br/>
            </w:r>
            <w:r w:rsidRPr="00AB1C80">
              <w:rPr>
                <w:rFonts w:cs="Arial"/>
                <w:sz w:val="20"/>
                <w:szCs w:val="20"/>
              </w:rPr>
              <w:br/>
              <w:t>Se recomienda estudiar los casos en que las comunidades se ven más afectadas por la contaminación de las relaveras y proponer soluciones similares para beneficios de la población.</w:t>
            </w:r>
            <w:r w:rsidRPr="00AB1C80">
              <w:rPr>
                <w:rFonts w:cs="Arial"/>
                <w:sz w:val="20"/>
                <w:szCs w:val="20"/>
              </w:rPr>
              <w:br/>
            </w:r>
            <w:r w:rsidRPr="00AB1C80">
              <w:rPr>
                <w:rFonts w:cs="Arial"/>
                <w:sz w:val="20"/>
                <w:szCs w:val="20"/>
              </w:rPr>
              <w:br/>
              <w:t>Se puede seguir investigando el uso de relaves de otros centros mineros o minas abandonadas para poder usar este material como agregado no solo como unidades de albañilería si también como elementos estructurales, pisos, pavimentos, etc.</w:t>
            </w:r>
          </w:p>
        </w:tc>
      </w:tr>
      <w:tr w:rsidR="00D81CBD" w:rsidRPr="00AB1C80" w14:paraId="6B484359" w14:textId="77777777" w:rsidTr="00D81CBD">
        <w:trPr>
          <w:trHeight w:val="20"/>
        </w:trPr>
        <w:tc>
          <w:tcPr>
            <w:tcW w:w="127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C67C04" w14:textId="77777777" w:rsidR="00D81CBD" w:rsidRPr="00AB1C80" w:rsidRDefault="00D81CBD" w:rsidP="00AB1C80">
            <w:pPr>
              <w:spacing w:line="276" w:lineRule="auto"/>
              <w:jc w:val="center"/>
              <w:rPr>
                <w:rFonts w:cs="Arial"/>
                <w:b/>
                <w:bCs/>
                <w:color w:val="000000"/>
                <w:sz w:val="20"/>
                <w:szCs w:val="20"/>
              </w:rPr>
            </w:pPr>
            <w:r w:rsidRPr="00AB1C80">
              <w:rPr>
                <w:rFonts w:cs="Arial"/>
                <w:b/>
                <w:bCs/>
                <w:color w:val="000000"/>
                <w:sz w:val="20"/>
                <w:szCs w:val="20"/>
              </w:rPr>
              <w:t>Perú</w:t>
            </w:r>
          </w:p>
        </w:tc>
        <w:tc>
          <w:tcPr>
            <w:tcW w:w="25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1908E95"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 xml:space="preserve">Proyecto de Inversión para la Producción y Comercialización de Adoquines Ecoamigables Hechos a Partir de Residuos Mineros en la </w:t>
            </w:r>
            <w:r w:rsidRPr="00AB1C80">
              <w:rPr>
                <w:rFonts w:cs="Arial"/>
                <w:color w:val="000000"/>
                <w:sz w:val="20"/>
                <w:szCs w:val="20"/>
              </w:rPr>
              <w:lastRenderedPageBreak/>
              <w:t>Provincia de Arequipa al 2017.</w:t>
            </w:r>
          </w:p>
        </w:tc>
        <w:tc>
          <w:tcPr>
            <w:tcW w:w="138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1BA978A" w14:textId="77777777" w:rsidR="00D81CBD" w:rsidRPr="00AB1C80" w:rsidRDefault="00D81CBD" w:rsidP="00AB1C80">
            <w:pPr>
              <w:spacing w:line="276" w:lineRule="auto"/>
              <w:jc w:val="center"/>
              <w:rPr>
                <w:rFonts w:cs="Arial"/>
                <w:color w:val="202124"/>
                <w:sz w:val="20"/>
                <w:szCs w:val="20"/>
              </w:rPr>
            </w:pPr>
            <w:r w:rsidRPr="00AB1C80">
              <w:rPr>
                <w:rFonts w:cs="Arial"/>
                <w:color w:val="202124"/>
                <w:sz w:val="20"/>
                <w:szCs w:val="20"/>
              </w:rPr>
              <w:lastRenderedPageBreak/>
              <w:t>María Alejandra Tejada y Erick Gianfranco Loayza Palazuelos</w:t>
            </w:r>
          </w:p>
        </w:tc>
        <w:tc>
          <w:tcPr>
            <w:tcW w:w="116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E543F76" w14:textId="77777777" w:rsidR="00D81CBD" w:rsidRPr="00AB1C80" w:rsidRDefault="00D81CBD" w:rsidP="00AB1C80">
            <w:pPr>
              <w:spacing w:line="276" w:lineRule="auto"/>
              <w:jc w:val="center"/>
              <w:rPr>
                <w:rFonts w:cs="Arial"/>
                <w:color w:val="000000"/>
                <w:sz w:val="20"/>
                <w:szCs w:val="20"/>
              </w:rPr>
            </w:pPr>
            <w:r w:rsidRPr="00AB1C80">
              <w:rPr>
                <w:rFonts w:cs="Arial"/>
                <w:color w:val="000000"/>
                <w:sz w:val="20"/>
                <w:szCs w:val="20"/>
              </w:rPr>
              <w:t>2017</w:t>
            </w:r>
          </w:p>
        </w:tc>
        <w:tc>
          <w:tcPr>
            <w:tcW w:w="7796"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11344EE" w14:textId="474EFAE9" w:rsidR="00D81CBD" w:rsidRPr="00AB1C80" w:rsidRDefault="00D81CBD" w:rsidP="00533937">
            <w:pPr>
              <w:spacing w:line="276" w:lineRule="auto"/>
              <w:rPr>
                <w:rFonts w:cs="Arial"/>
                <w:sz w:val="20"/>
                <w:szCs w:val="20"/>
              </w:rPr>
            </w:pPr>
            <w:r w:rsidRPr="00AB1C80">
              <w:rPr>
                <w:rFonts w:cs="Arial"/>
                <w:sz w:val="20"/>
                <w:szCs w:val="20"/>
              </w:rPr>
              <w:t xml:space="preserve">Actualmente en el Perú se tiene un déficit en cuando al estado de vías urbanas en las diferentes regiones, hay muchos factores causantes del deterioro siendo los principales los fenómenos fluviales y la temperatura, sumado a esto la mala calidad de materiales que se utiliza para su construcción y mantenimiento. Por otro lado, uno de los materiales principales que se utiliza para la construcción de las vías urbanas, es el cemento Portland, el cual en su fabricación genera grandes impactos ambientales, por lo que en la actualidad se busca reemplazar este material y así poder aminorar la contaminación </w:t>
            </w:r>
            <w:r w:rsidRPr="00AB1C80">
              <w:rPr>
                <w:rFonts w:cs="Arial"/>
                <w:sz w:val="20"/>
                <w:szCs w:val="20"/>
              </w:rPr>
              <w:lastRenderedPageBreak/>
              <w:t>progresivamente.</w:t>
            </w:r>
            <w:r w:rsidRPr="00AB1C80">
              <w:rPr>
                <w:rFonts w:cs="Arial"/>
                <w:sz w:val="20"/>
                <w:szCs w:val="20"/>
              </w:rPr>
              <w:br/>
            </w:r>
            <w:r w:rsidRPr="00AB1C80">
              <w:rPr>
                <w:rFonts w:cs="Arial"/>
                <w:sz w:val="20"/>
                <w:szCs w:val="20"/>
              </w:rPr>
              <w:br/>
              <w:t>En el Perú una de las principales actividades económicas es la minería, mediante la cual se obtienen los principales minerales metálicos como el cobre, oro, plata, hierro, etc. Según el tipo de extracción o ubicación de los minerales, se emplean una serie de procesos o etapas, siendo una de ellas la que da origen a los relaves, constituidos por una serie de elementos y/o compuestos químicos que resultan ser perjudiciales para el medio ambiente. Actualmente existen pocas alternativas en nuestro país para reutilizar, disminuir o confinar estos desechos.</w:t>
            </w:r>
            <w:r w:rsidRPr="00AB1C80">
              <w:rPr>
                <w:rFonts w:cs="Arial"/>
                <w:sz w:val="20"/>
                <w:szCs w:val="20"/>
              </w:rPr>
              <w:br/>
            </w:r>
            <w:r w:rsidRPr="00AB1C80">
              <w:rPr>
                <w:rFonts w:cs="Arial"/>
                <w:sz w:val="20"/>
                <w:szCs w:val="20"/>
              </w:rPr>
              <w:br/>
              <w:t>Por lo que se plantea el actual proyecto de inversión para la producción y comercialización de adoquines ecoamigables hechos a partir de residuos mineros en la provincia de Arequipa.</w:t>
            </w:r>
          </w:p>
        </w:tc>
      </w:tr>
    </w:tbl>
    <w:p w14:paraId="174C9F2F" w14:textId="4E4CB09B" w:rsidR="00443CDB" w:rsidRPr="00AB1C80" w:rsidRDefault="00D81CBD" w:rsidP="00AB1C80">
      <w:pPr>
        <w:pStyle w:val="Fuente"/>
        <w:spacing w:line="276" w:lineRule="auto"/>
        <w:rPr>
          <w:rFonts w:cs="Arial"/>
          <w:lang w:val="es-CO"/>
        </w:rPr>
      </w:pPr>
      <w:r w:rsidRPr="00AB1C80">
        <w:rPr>
          <w:rFonts w:cs="Arial"/>
          <w:lang w:val="es-CO"/>
        </w:rPr>
        <w:lastRenderedPageBreak/>
        <w:t xml:space="preserve"> </w:t>
      </w:r>
      <w:r w:rsidR="00443CDB" w:rsidRPr="00AB1C80">
        <w:rPr>
          <w:rFonts w:cs="Arial"/>
          <w:lang w:val="es-CO"/>
        </w:rPr>
        <w:t>Fuente: ATG Ltda., 2021.</w:t>
      </w:r>
    </w:p>
    <w:p w14:paraId="6E20EAF5" w14:textId="77777777" w:rsidR="00443CDB" w:rsidRPr="00AB1C80" w:rsidRDefault="00443CDB" w:rsidP="00AB1C80">
      <w:pPr>
        <w:spacing w:line="276" w:lineRule="auto"/>
        <w:rPr>
          <w:rFonts w:cs="Arial"/>
          <w:color w:val="000000" w:themeColor="text1"/>
        </w:rPr>
      </w:pPr>
    </w:p>
    <w:p w14:paraId="73C3DF71" w14:textId="1165169B" w:rsidR="00443CDB" w:rsidRPr="00AB1C80" w:rsidRDefault="00443CDB" w:rsidP="00AB1C80">
      <w:pPr>
        <w:spacing w:line="276" w:lineRule="auto"/>
        <w:rPr>
          <w:rFonts w:cs="Arial"/>
          <w:color w:val="000000" w:themeColor="text1"/>
        </w:rPr>
        <w:sectPr w:rsidR="00443CDB" w:rsidRPr="00AB1C80" w:rsidSect="00A85AC9">
          <w:pgSz w:w="15840" w:h="12240" w:orient="landscape"/>
          <w:pgMar w:top="1701" w:right="1418" w:bottom="1701" w:left="1418" w:header="709" w:footer="709" w:gutter="0"/>
          <w:cols w:space="708"/>
          <w:docGrid w:linePitch="360"/>
        </w:sectPr>
      </w:pPr>
    </w:p>
    <w:p w14:paraId="197E5AFE" w14:textId="77777777" w:rsidR="00DE2BF8" w:rsidRPr="00AB1C80" w:rsidRDefault="00DE2BF8" w:rsidP="00AB1C80">
      <w:pPr>
        <w:pStyle w:val="Ttulo4"/>
        <w:spacing w:line="276" w:lineRule="auto"/>
        <w:rPr>
          <w:rFonts w:ascii="Arial" w:hAnsi="Arial"/>
        </w:rPr>
      </w:pPr>
      <w:bookmarkStart w:id="127" w:name="_Toc86332936"/>
      <w:r w:rsidRPr="00AB1C80">
        <w:rPr>
          <w:rFonts w:ascii="Arial" w:hAnsi="Arial"/>
        </w:rPr>
        <w:lastRenderedPageBreak/>
        <w:t>Análisis de la temática</w:t>
      </w:r>
      <w:bookmarkEnd w:id="127"/>
      <w:r w:rsidRPr="00AB1C80">
        <w:rPr>
          <w:rFonts w:ascii="Arial" w:hAnsi="Arial"/>
        </w:rPr>
        <w:t xml:space="preserve"> </w:t>
      </w:r>
    </w:p>
    <w:p w14:paraId="1F75918D" w14:textId="6837B015" w:rsidR="00DE2BF8" w:rsidRPr="00AB1C80" w:rsidRDefault="00DE2BF8" w:rsidP="00AB1C80">
      <w:pPr>
        <w:spacing w:line="276" w:lineRule="auto"/>
        <w:rPr>
          <w:rFonts w:cs="Arial"/>
          <w:color w:val="000000" w:themeColor="text1"/>
        </w:rPr>
      </w:pPr>
    </w:p>
    <w:p w14:paraId="4AB1B096" w14:textId="77777777" w:rsidR="00F3736B" w:rsidRPr="00AB1C80" w:rsidRDefault="00F3736B" w:rsidP="00AB1C80">
      <w:pPr>
        <w:spacing w:line="276" w:lineRule="auto"/>
        <w:contextualSpacing/>
        <w:rPr>
          <w:rFonts w:eastAsia="Calibri" w:cs="Arial"/>
          <w:szCs w:val="24"/>
        </w:rPr>
      </w:pPr>
      <w:r w:rsidRPr="00AB1C80">
        <w:rPr>
          <w:rFonts w:eastAsia="Calibri" w:cs="Arial"/>
          <w:szCs w:val="24"/>
        </w:rPr>
        <w:t>En esta sección se presenta un análisis de la información internacional más representativa sobre el marco general de la Economía Circular (EC) y sobre su desarrollo y aplicación en la actividad minera, así como el enunciado de algunas mejores prácticas en el manejo de estériles asociados a la economía circular.</w:t>
      </w:r>
    </w:p>
    <w:p w14:paraId="1DD03A12" w14:textId="77777777" w:rsidR="00F3736B" w:rsidRPr="00AB1C80" w:rsidRDefault="00F3736B" w:rsidP="00AB1C80">
      <w:pPr>
        <w:spacing w:line="276" w:lineRule="auto"/>
        <w:contextualSpacing/>
        <w:rPr>
          <w:rFonts w:eastAsia="Calibri" w:cs="Arial"/>
          <w:szCs w:val="24"/>
        </w:rPr>
      </w:pPr>
    </w:p>
    <w:p w14:paraId="58507444" w14:textId="77777777" w:rsidR="00F3736B" w:rsidRPr="00AB1C80" w:rsidRDefault="00F3736B" w:rsidP="00AB1C80">
      <w:pPr>
        <w:spacing w:line="276" w:lineRule="auto"/>
        <w:contextualSpacing/>
        <w:rPr>
          <w:rFonts w:eastAsia="Calibri" w:cs="Arial"/>
          <w:szCs w:val="24"/>
        </w:rPr>
      </w:pPr>
      <w:r w:rsidRPr="00AB1C80">
        <w:rPr>
          <w:rFonts w:eastAsia="Calibri" w:cs="Arial"/>
          <w:szCs w:val="24"/>
        </w:rPr>
        <w:t xml:space="preserve">La Organización de las Naciones Unidas, ONU, (2020), plantea que todos los países para poderse </w:t>
      </w:r>
      <w:r w:rsidRPr="00AB1C80">
        <w:rPr>
          <w:rFonts w:eastAsia="Calibri" w:cs="Arial"/>
          <w:color w:val="000000"/>
          <w:szCs w:val="24"/>
        </w:rPr>
        <w:t>recuperar de los efectos socioeconómicos que ha dejado el COVID-19 deben establecer unos lineamientos de acuerdo con los Objetivos de Desarrollo Sostenible (ODS) y el Acuerdo de París sobre el Cambio Climático. De ahí, se plantea</w:t>
      </w:r>
      <w:r w:rsidRPr="00AB1C80">
        <w:rPr>
          <w:rFonts w:eastAsia="Calibri" w:cs="Arial"/>
          <w:szCs w:val="24"/>
        </w:rPr>
        <w:t xml:space="preserve"> como objetivo dar a conocer diferentes estímulos que los gobiernos pueden diseñar para responder mejor a la crisis generada por el COVID-19. Utilizando enfoques </w:t>
      </w:r>
      <w:r w:rsidRPr="00AB1C80">
        <w:rPr>
          <w:rFonts w:eastAsia="Calibri" w:cs="Arial"/>
          <w:color w:val="000000"/>
          <w:szCs w:val="24"/>
        </w:rPr>
        <w:t xml:space="preserve">normativos de economía verde, economía circular y de consumo y producción sostenible. </w:t>
      </w:r>
      <w:r w:rsidRPr="00AB1C80">
        <w:rPr>
          <w:rFonts w:eastAsia="Calibri" w:cs="Arial"/>
          <w:szCs w:val="24"/>
        </w:rPr>
        <w:t>A continuación, se exponen los diferentes ejes temáticos:</w:t>
      </w:r>
    </w:p>
    <w:p w14:paraId="21894998" w14:textId="77777777" w:rsidR="00F3736B" w:rsidRPr="00AB1C80" w:rsidRDefault="00F3736B" w:rsidP="00AB1C80">
      <w:pPr>
        <w:spacing w:line="276" w:lineRule="auto"/>
        <w:ind w:left="720"/>
        <w:contextualSpacing/>
        <w:rPr>
          <w:rFonts w:eastAsia="Calibri" w:cs="Arial"/>
          <w:szCs w:val="24"/>
        </w:rPr>
      </w:pPr>
    </w:p>
    <w:p w14:paraId="2AD90D7C" w14:textId="77777777" w:rsidR="00F3736B" w:rsidRPr="00AB1C80" w:rsidRDefault="00F3736B" w:rsidP="00AB1C80">
      <w:pPr>
        <w:numPr>
          <w:ilvl w:val="0"/>
          <w:numId w:val="32"/>
        </w:numPr>
        <w:spacing w:line="276" w:lineRule="auto"/>
        <w:ind w:left="426" w:hanging="284"/>
        <w:contextualSpacing/>
        <w:rPr>
          <w:rFonts w:eastAsia="Calibri" w:cs="Arial"/>
          <w:color w:val="000000"/>
          <w:szCs w:val="24"/>
        </w:rPr>
      </w:pPr>
      <w:r w:rsidRPr="00AB1C80">
        <w:rPr>
          <w:rFonts w:eastAsia="Calibri" w:cs="Arial"/>
          <w:b/>
          <w:color w:val="000000"/>
          <w:szCs w:val="24"/>
        </w:rPr>
        <w:t>Infraestructura sostenible y resiliente</w:t>
      </w:r>
      <w:r w:rsidRPr="00AB1C80">
        <w:rPr>
          <w:rFonts w:eastAsia="Calibri" w:cs="Arial"/>
          <w:color w:val="000000"/>
          <w:szCs w:val="24"/>
        </w:rPr>
        <w:t>: invertir en infraestructura sostenible genera empleo, mayores ingresos y la creación de nuevos bienes y servicios. Al igual que el diseño de compras públicas sostenibles donde se aprovecha los gastos existentes para el crecimiento verde y cumplir con los objetivos de desarrollo sostenible (ODS) 9 (Industria, innovación e infraestructura), 12 (Producción y consumo responsable) y 13 (Acción por el clima).</w:t>
      </w:r>
    </w:p>
    <w:p w14:paraId="63E7098A" w14:textId="77777777" w:rsidR="00F3736B" w:rsidRPr="00AB1C80" w:rsidRDefault="00F3736B" w:rsidP="00AB1C80">
      <w:pPr>
        <w:spacing w:line="276" w:lineRule="auto"/>
        <w:ind w:left="426" w:hanging="284"/>
        <w:contextualSpacing/>
        <w:rPr>
          <w:rFonts w:eastAsia="Calibri" w:cs="Arial"/>
          <w:color w:val="000000"/>
          <w:szCs w:val="24"/>
        </w:rPr>
      </w:pPr>
    </w:p>
    <w:p w14:paraId="3165D584" w14:textId="77777777" w:rsidR="00F3736B" w:rsidRPr="00AB1C80" w:rsidRDefault="00F3736B" w:rsidP="00AB1C80">
      <w:pPr>
        <w:numPr>
          <w:ilvl w:val="0"/>
          <w:numId w:val="32"/>
        </w:numPr>
        <w:spacing w:line="276" w:lineRule="auto"/>
        <w:ind w:left="426" w:hanging="284"/>
        <w:contextualSpacing/>
        <w:rPr>
          <w:rFonts w:eastAsia="Calibri" w:cs="Arial"/>
          <w:color w:val="000000"/>
          <w:szCs w:val="24"/>
        </w:rPr>
      </w:pPr>
      <w:r w:rsidRPr="00AB1C80">
        <w:rPr>
          <w:rFonts w:eastAsia="Calibri" w:cs="Arial"/>
          <w:b/>
          <w:color w:val="000000"/>
          <w:szCs w:val="24"/>
        </w:rPr>
        <w:t>Espacio fiscal verde</w:t>
      </w:r>
      <w:r w:rsidRPr="00AB1C80">
        <w:rPr>
          <w:rFonts w:eastAsia="Calibri" w:cs="Arial"/>
          <w:color w:val="000000"/>
          <w:szCs w:val="24"/>
        </w:rPr>
        <w:t>: juega un papel muy importante ya que, al mejorar en la eficiencia del gasto público, la reasignación de recursos públicos y la reforma de las políticas fiscales se pueden obtener ingresos adicionales que se destinarían a generar medidas de rescate inmediato donde se apoyen las inversiones a mediano y largo plazo y se planifique el futuro más sostenible, resiliente e inclusivo.  Con esta política se apoya el logro de los ODS 8 (Trabajo decente y crecimiento económico), 9 (Industria, innovación e infraestructura), 12 (Producción y consumo responsable) y 13 (Acción por el clima).</w:t>
      </w:r>
    </w:p>
    <w:p w14:paraId="2ABCEF63" w14:textId="77777777" w:rsidR="00F3736B" w:rsidRPr="00AB1C80" w:rsidRDefault="00F3736B" w:rsidP="00AB1C80">
      <w:pPr>
        <w:spacing w:line="276" w:lineRule="auto"/>
        <w:ind w:left="426" w:hanging="284"/>
        <w:rPr>
          <w:rFonts w:eastAsia="Calibri" w:cs="Arial"/>
          <w:color w:val="000000"/>
          <w:szCs w:val="24"/>
        </w:rPr>
      </w:pPr>
    </w:p>
    <w:p w14:paraId="2D3878EA" w14:textId="77777777" w:rsidR="00F3736B" w:rsidRPr="00AB1C80" w:rsidRDefault="00F3736B" w:rsidP="00AB1C80">
      <w:pPr>
        <w:numPr>
          <w:ilvl w:val="0"/>
          <w:numId w:val="32"/>
        </w:numPr>
        <w:spacing w:line="276" w:lineRule="auto"/>
        <w:ind w:left="426" w:hanging="284"/>
        <w:contextualSpacing/>
        <w:rPr>
          <w:rFonts w:eastAsia="Calibri" w:cs="Arial"/>
          <w:color w:val="000000"/>
          <w:szCs w:val="24"/>
        </w:rPr>
      </w:pPr>
      <w:r w:rsidRPr="00AB1C80">
        <w:rPr>
          <w:rFonts w:eastAsia="Calibri" w:cs="Arial"/>
          <w:b/>
          <w:color w:val="000000"/>
          <w:szCs w:val="24"/>
        </w:rPr>
        <w:t xml:space="preserve">Economía circular: </w:t>
      </w:r>
      <w:r w:rsidRPr="00AB1C80">
        <w:rPr>
          <w:rFonts w:eastAsia="Calibri" w:cs="Arial"/>
          <w:bCs/>
          <w:color w:val="000000"/>
          <w:szCs w:val="24"/>
        </w:rPr>
        <w:t>s</w:t>
      </w:r>
      <w:r w:rsidRPr="00AB1C80">
        <w:rPr>
          <w:rFonts w:eastAsia="Calibri" w:cs="Arial"/>
          <w:color w:val="000000"/>
          <w:szCs w:val="24"/>
        </w:rPr>
        <w:t xml:space="preserve">e sugiere diseñar cadenas de suministro que sean más inteligentes, innovadoras y diversas, que fortalezcan a los proveedores locales apoyando a las pequeñas y medianas empresas (PyMES), y en donde todos los involucrados a lo largo del ciclo de vida del producto encuentren formas restables de </w:t>
      </w:r>
      <w:r w:rsidRPr="00AB1C80">
        <w:rPr>
          <w:rFonts w:eastAsia="Calibri" w:cs="Arial"/>
          <w:color w:val="000000"/>
          <w:szCs w:val="24"/>
          <w:u w:val="single"/>
        </w:rPr>
        <w:t>tener en cuenta la escases de recursos y se compartan tanto los costos como los beneficios</w:t>
      </w:r>
      <w:r w:rsidRPr="00AB1C80">
        <w:rPr>
          <w:rFonts w:eastAsia="Calibri" w:cs="Arial"/>
          <w:color w:val="000000"/>
          <w:szCs w:val="24"/>
        </w:rPr>
        <w:t xml:space="preserve">. Esto ayudaría a cumplir con los ODS 2 (Hambre cero), 8 (Trabajo decente y crecimiento económico), 9 (Industria, innovación e </w:t>
      </w:r>
      <w:r w:rsidRPr="00AB1C80">
        <w:rPr>
          <w:rFonts w:eastAsia="Calibri" w:cs="Arial"/>
          <w:color w:val="000000"/>
          <w:szCs w:val="24"/>
        </w:rPr>
        <w:lastRenderedPageBreak/>
        <w:t>infraestructura), 12 (Producción y consumo responsable) y 13 (Acción por el clima) y 15 (Vida de ecosistemas terrestres).</w:t>
      </w:r>
    </w:p>
    <w:p w14:paraId="6A837B94" w14:textId="77777777" w:rsidR="00F3736B" w:rsidRPr="00AB1C80" w:rsidRDefault="00F3736B" w:rsidP="00AB1C80">
      <w:pPr>
        <w:spacing w:line="276" w:lineRule="auto"/>
        <w:ind w:left="426" w:hanging="284"/>
        <w:contextualSpacing/>
        <w:rPr>
          <w:rFonts w:eastAsia="Calibri" w:cs="Arial"/>
          <w:color w:val="000000"/>
          <w:szCs w:val="24"/>
        </w:rPr>
      </w:pPr>
      <w:r w:rsidRPr="00AB1C80">
        <w:rPr>
          <w:rFonts w:eastAsia="Calibri" w:cs="Arial"/>
          <w:color w:val="000000"/>
          <w:szCs w:val="24"/>
        </w:rPr>
        <w:t xml:space="preserve"> </w:t>
      </w:r>
    </w:p>
    <w:p w14:paraId="5128BD0C" w14:textId="77777777" w:rsidR="00F3736B" w:rsidRPr="00AB1C80" w:rsidRDefault="00F3736B" w:rsidP="00AB1C80">
      <w:pPr>
        <w:numPr>
          <w:ilvl w:val="0"/>
          <w:numId w:val="32"/>
        </w:numPr>
        <w:spacing w:line="276" w:lineRule="auto"/>
        <w:ind w:left="426" w:hanging="284"/>
        <w:contextualSpacing/>
        <w:rPr>
          <w:rFonts w:eastAsia="Calibri" w:cs="Arial"/>
          <w:color w:val="000000"/>
          <w:szCs w:val="24"/>
        </w:rPr>
      </w:pPr>
      <w:r w:rsidRPr="00AB1C80">
        <w:rPr>
          <w:rFonts w:eastAsia="Calibri" w:cs="Arial"/>
          <w:b/>
          <w:szCs w:val="24"/>
        </w:rPr>
        <w:t xml:space="preserve">Turismo sostenible y gestión integrada de residuos: </w:t>
      </w:r>
      <w:r w:rsidRPr="00AB1C80">
        <w:rPr>
          <w:rFonts w:eastAsia="Calibri" w:cs="Arial"/>
          <w:bCs/>
          <w:szCs w:val="24"/>
        </w:rPr>
        <w:t>s</w:t>
      </w:r>
      <w:r w:rsidRPr="00AB1C80">
        <w:rPr>
          <w:rFonts w:eastAsia="Calibri" w:cs="Arial"/>
          <w:szCs w:val="24"/>
        </w:rPr>
        <w:t>e enfoca en que todas las formas de turismo pueden contribuir a la transición hacia una economía más verde e inclusiva mediante inversiones que conduzcan a la eficacia de los recursos, la mitigación del cambio climático, la conservación del patrimonio natural y cultural, y el fortalecimiento de los vínculos con las comunidades locales.</w:t>
      </w:r>
    </w:p>
    <w:p w14:paraId="22E95EDC" w14:textId="77777777" w:rsidR="00F3736B" w:rsidRPr="00AB1C80" w:rsidRDefault="00F3736B" w:rsidP="00AB1C80">
      <w:pPr>
        <w:spacing w:line="276" w:lineRule="auto"/>
        <w:contextualSpacing/>
        <w:rPr>
          <w:rFonts w:eastAsia="Calibri" w:cs="Arial"/>
          <w:szCs w:val="24"/>
        </w:rPr>
      </w:pPr>
    </w:p>
    <w:p w14:paraId="6DE8EE2B" w14:textId="77777777" w:rsidR="00F3736B" w:rsidRPr="00AB1C80" w:rsidRDefault="00F3736B" w:rsidP="00AB1C80">
      <w:pPr>
        <w:spacing w:line="276" w:lineRule="auto"/>
        <w:contextualSpacing/>
        <w:rPr>
          <w:rFonts w:eastAsia="Calibri" w:cs="Arial"/>
          <w:szCs w:val="24"/>
        </w:rPr>
      </w:pPr>
      <w:r w:rsidRPr="00AB1C80">
        <w:rPr>
          <w:rFonts w:eastAsia="Calibri" w:cs="Arial"/>
          <w:szCs w:val="24"/>
        </w:rPr>
        <w:t xml:space="preserve">El programa de las Naciones Unidas para el medio ambiente (PNUMA) presta asesoramiento a los países en cuanto a las políticas, metodologías y apoyo técnico de los diferentes ejes temáticos facilitando el intercambio de conocimiento para poder llegar a cumplir con los </w:t>
      </w:r>
      <w:r w:rsidRPr="00AB1C80">
        <w:rPr>
          <w:rFonts w:eastAsia="Calibri" w:cs="Arial"/>
          <w:color w:val="000000"/>
          <w:szCs w:val="24"/>
        </w:rPr>
        <w:t>Objetivos de Desarrollo Sostenible (ODS).</w:t>
      </w:r>
    </w:p>
    <w:p w14:paraId="1C05D611" w14:textId="77777777" w:rsidR="00F3736B" w:rsidRPr="00AB1C80" w:rsidRDefault="00F3736B" w:rsidP="00AB1C80">
      <w:pPr>
        <w:spacing w:line="276" w:lineRule="auto"/>
        <w:rPr>
          <w:rFonts w:cs="Arial"/>
          <w:b/>
          <w:i/>
          <w:szCs w:val="24"/>
        </w:rPr>
      </w:pPr>
    </w:p>
    <w:p w14:paraId="26F21A20" w14:textId="77777777" w:rsidR="00F3736B" w:rsidRPr="00AB1C80" w:rsidRDefault="00F3736B" w:rsidP="00AB1C80">
      <w:pPr>
        <w:spacing w:line="276" w:lineRule="auto"/>
        <w:rPr>
          <w:rFonts w:cs="Arial"/>
          <w:b/>
          <w:i/>
          <w:szCs w:val="24"/>
        </w:rPr>
      </w:pPr>
      <w:r w:rsidRPr="00AB1C80">
        <w:rPr>
          <w:rFonts w:eastAsia="Calibri" w:cs="Arial"/>
          <w:szCs w:val="24"/>
        </w:rPr>
        <w:t xml:space="preserve">Es oportuno traer la experiencia que se ha tenido sobre manejo de residuos con miras al DS. Es así, como RR Donnelley (2010), Nature Scotland - </w:t>
      </w:r>
      <w:r w:rsidRPr="00AB1C80">
        <w:rPr>
          <w:rFonts w:eastAsia="Times New Roman" w:cs="Arial"/>
          <w:color w:val="202124"/>
          <w:szCs w:val="24"/>
          <w:lang w:eastAsia="es-CO"/>
        </w:rPr>
        <w:t>Scottish Government, expone sobre el primer Plan Residuo Cero de Escocia donde se propuso como objetivo a largo plazo, reciclar el 70% de todos los residuos de Escocia, y solo el 5% de los residuos restantes terminará en vertederos para 2025.</w:t>
      </w:r>
    </w:p>
    <w:p w14:paraId="30E11032" w14:textId="77777777" w:rsidR="00F3736B" w:rsidRPr="00AB1C80" w:rsidRDefault="00F3736B" w:rsidP="00AB1C80">
      <w:pPr>
        <w:spacing w:line="276" w:lineRule="auto"/>
        <w:rPr>
          <w:rFonts w:cs="Arial"/>
          <w:szCs w:val="24"/>
          <w:lang w:eastAsia="es-CO"/>
        </w:rPr>
      </w:pPr>
    </w:p>
    <w:p w14:paraId="45372E72" w14:textId="77777777" w:rsidR="00F3736B" w:rsidRPr="00AB1C80" w:rsidRDefault="00F3736B" w:rsidP="00AB1C80">
      <w:pPr>
        <w:spacing w:line="276" w:lineRule="auto"/>
        <w:rPr>
          <w:rFonts w:cs="Arial"/>
          <w:szCs w:val="24"/>
          <w:lang w:eastAsia="es-CO"/>
        </w:rPr>
      </w:pPr>
      <w:r w:rsidRPr="00AB1C80">
        <w:rPr>
          <w:rFonts w:cs="Arial"/>
          <w:szCs w:val="24"/>
          <w:lang w:eastAsia="es-CO"/>
        </w:rPr>
        <w:t xml:space="preserve">Escocia producía grandes cantidades de desechos, casi 20 millones de toneladas en 2008. Esto proviene de una variedad de fuentes, con los residuos domésticos que representan 2,9 millones de toneladas, en comparación con 8,6 millones toneladas de la industria de la construcción y 7,9 millones de toneladas del resto de la industria y sector industrial. Se aprecia una gran proporción de este material que se trata como residuo en cambio, como un recurso que todavía tiene un valor, que puede ser capturado y utilizado en lugar de nuevos recursos costosos. </w:t>
      </w:r>
    </w:p>
    <w:p w14:paraId="70FDB4E9" w14:textId="77777777" w:rsidR="00F3736B" w:rsidRPr="00AB1C80" w:rsidRDefault="00F3736B" w:rsidP="00AB1C80">
      <w:pPr>
        <w:spacing w:line="276" w:lineRule="auto"/>
        <w:rPr>
          <w:rFonts w:cs="Arial"/>
          <w:szCs w:val="24"/>
          <w:lang w:eastAsia="es-CO"/>
        </w:rPr>
      </w:pPr>
    </w:p>
    <w:p w14:paraId="50124541" w14:textId="77777777" w:rsidR="00F3736B" w:rsidRPr="00AB1C80" w:rsidRDefault="00F3736B" w:rsidP="00AB1C80">
      <w:pPr>
        <w:spacing w:line="276" w:lineRule="auto"/>
        <w:rPr>
          <w:rFonts w:cs="Arial"/>
          <w:szCs w:val="24"/>
          <w:lang w:eastAsia="es-CO"/>
        </w:rPr>
      </w:pPr>
      <w:r w:rsidRPr="00AB1C80">
        <w:rPr>
          <w:rFonts w:cs="Arial"/>
          <w:szCs w:val="24"/>
          <w:lang w:eastAsia="es-CO"/>
        </w:rPr>
        <w:t>Este Plan Residuos Cero tuvo como objetivo crear un marco que proporcionará confianza a la inversión, necesaria para ofrecer una Escocia sin residuos durante los siguientes 10 años. Dentro de ese contexto el Plan establece direcciones estratégicas en las áreas clave de actividad a medio plazo hasta 5 años, con acciones que establezcan prioridades inmediatas.</w:t>
      </w:r>
    </w:p>
    <w:p w14:paraId="67F7BD21" w14:textId="77777777" w:rsidR="00F3736B" w:rsidRPr="00AB1C80" w:rsidRDefault="00F3736B" w:rsidP="00AB1C80">
      <w:pPr>
        <w:spacing w:line="276" w:lineRule="auto"/>
        <w:rPr>
          <w:rFonts w:cs="Arial"/>
          <w:szCs w:val="24"/>
          <w:lang w:eastAsia="es-CO"/>
        </w:rPr>
      </w:pPr>
    </w:p>
    <w:p w14:paraId="261F981F" w14:textId="77777777" w:rsidR="00F3736B" w:rsidRPr="00AB1C80" w:rsidRDefault="00F3736B" w:rsidP="00AB1C80">
      <w:pPr>
        <w:spacing w:line="276" w:lineRule="auto"/>
        <w:rPr>
          <w:rFonts w:cs="Arial"/>
          <w:szCs w:val="24"/>
          <w:lang w:eastAsia="es-CO"/>
        </w:rPr>
      </w:pPr>
      <w:r w:rsidRPr="00AB1C80">
        <w:rPr>
          <w:rFonts w:cs="Arial"/>
          <w:szCs w:val="24"/>
          <w:lang w:eastAsia="es-CO"/>
        </w:rPr>
        <w:t>Para lograr una Escocia cero residuos, se tiene como misión hacer el uso más eficiente de los recursos al minimizar la demanda de Escocia en recursos primarios y maximizando la reutilización, reciclaje y recuperación de recursos, en lugar de tratarlos como desechos.</w:t>
      </w:r>
    </w:p>
    <w:p w14:paraId="251B9DC7" w14:textId="77777777" w:rsidR="00F3736B" w:rsidRPr="00AB1C80" w:rsidRDefault="00F3736B" w:rsidP="00AB1C80">
      <w:pPr>
        <w:spacing w:line="276" w:lineRule="auto"/>
        <w:rPr>
          <w:rFonts w:cs="Arial"/>
          <w:szCs w:val="24"/>
          <w:lang w:eastAsia="es-CO"/>
        </w:rPr>
      </w:pPr>
    </w:p>
    <w:p w14:paraId="2F809DD5"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Para el efecto, se traza la visión de una Escocia sin residuos:</w:t>
      </w:r>
    </w:p>
    <w:p w14:paraId="7433B33E"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E703A92" w14:textId="77777777" w:rsidR="00F3736B" w:rsidRPr="00AB1C80" w:rsidRDefault="00F3736B" w:rsidP="00AB1C80">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contextualSpacing/>
        <w:rPr>
          <w:rFonts w:eastAsia="Times New Roman" w:cs="Arial"/>
          <w:color w:val="202124"/>
          <w:szCs w:val="24"/>
          <w:lang w:eastAsia="es-CO"/>
        </w:rPr>
      </w:pPr>
      <w:r w:rsidRPr="00AB1C80">
        <w:rPr>
          <w:rFonts w:eastAsia="Times New Roman" w:cs="Arial"/>
          <w:color w:val="202124"/>
          <w:szCs w:val="24"/>
          <w:lang w:eastAsia="es-CO"/>
        </w:rPr>
        <w:t>Estar donde todos, individuos, sectores público y empresarial, aprecien la valor ambiental, social y económico de los recursos, y cómo pueden participar en el uso eficiente de los recursos;</w:t>
      </w:r>
    </w:p>
    <w:p w14:paraId="3283E65B" w14:textId="77777777" w:rsidR="00F3736B" w:rsidRPr="00AB1C80" w:rsidRDefault="00F3736B" w:rsidP="00AB1C80">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contextualSpacing/>
        <w:rPr>
          <w:rFonts w:eastAsia="Times New Roman" w:cs="Arial"/>
          <w:color w:val="202124"/>
          <w:szCs w:val="24"/>
          <w:lang w:eastAsia="es-CO"/>
        </w:rPr>
      </w:pPr>
      <w:r w:rsidRPr="00AB1C80">
        <w:rPr>
          <w:rFonts w:eastAsia="Times New Roman" w:cs="Arial"/>
          <w:color w:val="202124"/>
          <w:szCs w:val="24"/>
          <w:lang w:eastAsia="es-CO"/>
        </w:rPr>
        <w:t>Reducir el impacto de Escocia en el medio ambiente, tanto a nivel local como global, minimizando el uso innecesario de materias primas, reutilización de recursos cuando sea posible, y reciclaje y recuperación de valor de los materiales cuando llegan al final de su vida;</w:t>
      </w:r>
    </w:p>
    <w:p w14:paraId="0928F985" w14:textId="741039CB" w:rsidR="00F3736B" w:rsidRPr="00AB1C80" w:rsidRDefault="00F3736B" w:rsidP="00AB1C80">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contextualSpacing/>
        <w:rPr>
          <w:rFonts w:eastAsia="Times New Roman" w:cs="Arial"/>
          <w:color w:val="202124"/>
          <w:szCs w:val="24"/>
          <w:lang w:eastAsia="es-CO"/>
        </w:rPr>
      </w:pPr>
      <w:r w:rsidRPr="00AB1C80">
        <w:rPr>
          <w:rFonts w:eastAsia="Times New Roman" w:cs="Arial"/>
          <w:color w:val="202124"/>
          <w:szCs w:val="24"/>
          <w:lang w:eastAsia="es-CO"/>
        </w:rPr>
        <w:t xml:space="preserve">Ayudar a lograr los objetivos establecidos en la Ley de Cambio Climático (Escocia) de 2009 para reducir </w:t>
      </w:r>
      <w:r w:rsidR="002645CE" w:rsidRPr="00AB1C80">
        <w:rPr>
          <w:rFonts w:eastAsia="Times New Roman" w:cs="Arial"/>
          <w:color w:val="202124"/>
          <w:szCs w:val="24"/>
          <w:lang w:eastAsia="es-CO"/>
        </w:rPr>
        <w:t>las</w:t>
      </w:r>
      <w:r w:rsidRPr="00AB1C80">
        <w:rPr>
          <w:rFonts w:eastAsia="Times New Roman" w:cs="Arial"/>
          <w:color w:val="202124"/>
          <w:szCs w:val="24"/>
          <w:lang w:eastAsia="es-CO"/>
        </w:rPr>
        <w:t xml:space="preserve"> emisiones de gases de efecto invernadero en un 42% para 2020 y un 80% para 2050;</w:t>
      </w:r>
    </w:p>
    <w:p w14:paraId="03F9093C" w14:textId="77777777" w:rsidR="00F3736B" w:rsidRPr="00AB1C80" w:rsidRDefault="00F3736B" w:rsidP="00AB1C80">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contextualSpacing/>
        <w:rPr>
          <w:rFonts w:eastAsia="Times New Roman" w:cs="Arial"/>
          <w:color w:val="202124"/>
          <w:szCs w:val="24"/>
          <w:lang w:eastAsia="es-CO"/>
        </w:rPr>
      </w:pPr>
      <w:r w:rsidRPr="00AB1C80">
        <w:rPr>
          <w:rFonts w:eastAsia="Times New Roman" w:cs="Arial"/>
          <w:color w:val="202124"/>
          <w:szCs w:val="24"/>
          <w:lang w:eastAsia="es-CO"/>
        </w:rPr>
        <w:t>Contribuir al crecimiento económico sostenible aprovechando el negocio económico y medioambiental y oportunidades laborales en un enfoque de desperdicio cero</w:t>
      </w:r>
    </w:p>
    <w:p w14:paraId="03E3F2D4"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AE7730D"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El Plan Residuos Cero, es un plan para todos los residuos de Escocia, no solo los residuos recogidos y gestionados por las autoridades locales, que son en gran parte residuos domésticos. Establece una visión a largo plazo, y requerirá un cambio significativo en la forma en que Escocia aborda la gestión de su desperdicio, sin embargo y dondequiera que surja. Para lograr esta visión, se tomaron medidas y se direccionaron estrategias en las siguientes cuatro áreas: flujos de recursos, oportunidad económica, sector de gestión de recursos y educación y sensibilización.</w:t>
      </w:r>
    </w:p>
    <w:p w14:paraId="7C3590D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El Grupo de expertos en finanzas de la Comisión Europea - CE Finance Expert Group (2020) decidió crear un grupo de trabajo especial para producir los siguientes resultados:</w:t>
      </w:r>
    </w:p>
    <w:p w14:paraId="2E0351A4"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05FD506"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Un sistema de categorización de economía circular genérico e independiente del sector que define distintas categorías de actividades que contribuyen sustancialmente a una economía circular;</w:t>
      </w:r>
    </w:p>
    <w:p w14:paraId="077C15D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Un conjunto de criterios mínimos que deben cumplir las actividades de cada categoría definida en que se considere que contribuye sustancialmente a una economía circular; y</w:t>
      </w:r>
    </w:p>
    <w:p w14:paraId="3E5F41C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Orientación metodológica que incluya una lista indicativa de inversiones / proyectos típicos para cada categoría de economía circular.</w:t>
      </w:r>
    </w:p>
    <w:p w14:paraId="676A8917"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hanging="284"/>
        <w:rPr>
          <w:rFonts w:eastAsia="Times New Roman" w:cs="Arial"/>
          <w:color w:val="202124"/>
          <w:szCs w:val="24"/>
          <w:lang w:eastAsia="es-CO"/>
        </w:rPr>
      </w:pPr>
      <w:r w:rsidRPr="00AB1C80">
        <w:rPr>
          <w:rFonts w:eastAsia="Times New Roman" w:cs="Arial"/>
          <w:color w:val="202124"/>
          <w:szCs w:val="24"/>
          <w:lang w:eastAsia="es-CO"/>
        </w:rPr>
        <w:t>Los objetivos del trabajo son:</w:t>
      </w:r>
    </w:p>
    <w:p w14:paraId="7D1A1A7B" w14:textId="77777777" w:rsidR="00F3736B" w:rsidRPr="00AB1C80" w:rsidRDefault="00F3736B" w:rsidP="00AB1C80">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851" w:hanging="284"/>
        <w:contextualSpacing/>
        <w:rPr>
          <w:rFonts w:eastAsia="Times New Roman" w:cs="Arial"/>
          <w:color w:val="202124"/>
          <w:szCs w:val="24"/>
          <w:lang w:eastAsia="es-CO"/>
        </w:rPr>
      </w:pPr>
      <w:r w:rsidRPr="00AB1C80">
        <w:rPr>
          <w:rFonts w:eastAsia="Times New Roman" w:cs="Arial"/>
          <w:color w:val="202124"/>
          <w:szCs w:val="24"/>
          <w:lang w:eastAsia="es-CO"/>
        </w:rPr>
        <w:lastRenderedPageBreak/>
        <w:t xml:space="preserve">Contribuir al trabajo futuro de la Plataforma de Finanzas Sostenibles sobre el desarrollo la taxonomía de las finanzas sostenibles de la UE. </w:t>
      </w:r>
    </w:p>
    <w:p w14:paraId="6D76ECCC" w14:textId="77777777" w:rsidR="00F3736B" w:rsidRPr="00AB1C80" w:rsidRDefault="00F3736B" w:rsidP="00AB1C80">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851" w:hanging="284"/>
        <w:contextualSpacing/>
        <w:rPr>
          <w:rFonts w:eastAsia="Times New Roman" w:cs="Arial"/>
          <w:color w:val="202124"/>
          <w:szCs w:val="24"/>
          <w:lang w:eastAsia="es-CO"/>
        </w:rPr>
      </w:pPr>
      <w:r w:rsidRPr="00AB1C80">
        <w:rPr>
          <w:rFonts w:eastAsia="Times New Roman" w:cs="Arial"/>
          <w:color w:val="202124"/>
          <w:szCs w:val="24"/>
          <w:lang w:eastAsia="es-CO"/>
        </w:rPr>
        <w:t>Proporcionar orientación para desarrollar e invertir en empresas de economía circular y proyectos.</w:t>
      </w:r>
    </w:p>
    <w:p w14:paraId="066741BA" w14:textId="77777777" w:rsidR="00F3736B" w:rsidRPr="00AB1C80" w:rsidRDefault="00F3736B" w:rsidP="00AB1C80">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851" w:hanging="284"/>
        <w:contextualSpacing/>
        <w:rPr>
          <w:rFonts w:eastAsia="Times New Roman" w:cs="Arial"/>
          <w:color w:val="202124"/>
          <w:szCs w:val="24"/>
          <w:lang w:eastAsia="es-CO"/>
        </w:rPr>
      </w:pPr>
      <w:r w:rsidRPr="00AB1C80">
        <w:rPr>
          <w:rFonts w:eastAsia="Times New Roman" w:cs="Arial"/>
          <w:color w:val="202124"/>
          <w:szCs w:val="24"/>
          <w:lang w:eastAsia="es-CO"/>
        </w:rPr>
        <w:t>Proporcionar una base para otro trabajo que requiera una economía circular fundamental, de cómo definir los impactos de la economía circular o la reducción del riesgo de modelos de economía circular.</w:t>
      </w:r>
    </w:p>
    <w:p w14:paraId="42513A89" w14:textId="77777777" w:rsidR="00F3736B" w:rsidRPr="00AB1C80" w:rsidRDefault="00F3736B" w:rsidP="00AB1C80">
      <w:pPr>
        <w:tabs>
          <w:tab w:val="left" w:pos="916"/>
          <w:tab w:val="left" w:pos="1832"/>
          <w:tab w:val="left" w:pos="2748"/>
          <w:tab w:val="left" w:pos="3664"/>
          <w:tab w:val="left" w:pos="4580"/>
          <w:tab w:val="left" w:pos="5496"/>
        </w:tabs>
        <w:spacing w:line="276" w:lineRule="auto"/>
        <w:rPr>
          <w:rFonts w:eastAsia="Times New Roman" w:cs="Arial"/>
          <w:szCs w:val="24"/>
          <w:lang w:eastAsia="es-CO"/>
        </w:rPr>
      </w:pPr>
    </w:p>
    <w:p w14:paraId="413F7BED" w14:textId="77777777" w:rsidR="00F3736B" w:rsidRPr="00AB1C80" w:rsidRDefault="00F3736B" w:rsidP="00AB1C80">
      <w:pPr>
        <w:tabs>
          <w:tab w:val="left" w:pos="916"/>
          <w:tab w:val="left" w:pos="1832"/>
          <w:tab w:val="left" w:pos="2748"/>
          <w:tab w:val="left" w:pos="3664"/>
          <w:tab w:val="left" w:pos="4580"/>
          <w:tab w:val="left" w:pos="5496"/>
        </w:tabs>
        <w:spacing w:line="276" w:lineRule="auto"/>
        <w:rPr>
          <w:rFonts w:eastAsia="Times New Roman" w:cs="Arial"/>
          <w:szCs w:val="24"/>
          <w:lang w:eastAsia="es-CO"/>
        </w:rPr>
      </w:pPr>
      <w:r w:rsidRPr="00AB1C80">
        <w:rPr>
          <w:rFonts w:eastAsia="Times New Roman" w:cs="Arial"/>
          <w:szCs w:val="24"/>
          <w:lang w:eastAsia="es-CO"/>
        </w:rPr>
        <w:t>El sistema de categorización de economía circular propuesto consta de 14 categorías circulares organizadas en cuatro grupos o modelos de categorías de alto nivel, tal como se muestran a continuación.</w:t>
      </w:r>
    </w:p>
    <w:p w14:paraId="3B820AFD"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06EC683A"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Grupo 1 - Modelos circulares de diseño y producción:</w:t>
      </w:r>
    </w:p>
    <w:p w14:paraId="3667242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Grupo 2 - Modelos de uso circular:</w:t>
      </w:r>
    </w:p>
    <w:p w14:paraId="2DE2D704"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Grupo 3 - Modelos circulares de recuperación de valor:</w:t>
      </w:r>
    </w:p>
    <w:p w14:paraId="725F8F0A"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Grupo 4 - Soporte circular</w:t>
      </w:r>
    </w:p>
    <w:p w14:paraId="56FF63A0"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E9DC7AB"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Lo que es común a las 14 categorías circulares enumeradas anteriormente es que contribuyen, directa o indirectamente, para aumentar la eficiencia de los recursos y disminuir los impactos ambientales a lo largo de las cadenas de valor. Esto se puede lograr aplicando o habilitando uno o más de las siguientes 9 estrategias o principios "R" de economía circular, conocidas como las 9 R.</w:t>
      </w:r>
    </w:p>
    <w:p w14:paraId="2601BD1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2BC0109F"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El CE Finance Expert Group considera que tanto la producción de energía renovable (incluida la biomasa, pero también la solar, eólica e hidráulica) y el uso eficiente de la energía, que no están incluidos en el sistema de categorización de la economía circular, tienen un papel clave que desempeñar y constituyen ingredientes importantes en una economía circular.</w:t>
      </w:r>
    </w:p>
    <w:p w14:paraId="024A618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A8B5F1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El CE Finance Expert Group pide una política responsable a nivel nacional y de la UE, en colaboración con instituciones financieras, empresas asociaciones y organizaciones de conocimiento, para proporcionar servicios financieros, de asesoría y apoyo metodológico a los promotores de proyectos de economía circular, en particular a las empresas emergentes y PYMES, para realizar evaluaciones de impacto basadas en el ciclo de vida de los productos circulares, tecnologías y modelos de negocio. </w:t>
      </w:r>
    </w:p>
    <w:p w14:paraId="4FCCBFCA" w14:textId="77777777" w:rsidR="00F3736B" w:rsidRPr="00AB1C80" w:rsidRDefault="00F3736B" w:rsidP="00AB1C80">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cs="Arial"/>
          <w:b/>
          <w:i/>
          <w:szCs w:val="24"/>
        </w:rPr>
      </w:pPr>
    </w:p>
    <w:p w14:paraId="25DA90F8" w14:textId="24C73C64" w:rsidR="00F3736B" w:rsidRPr="00AB1C80" w:rsidRDefault="00F3736B" w:rsidP="00AB1C80">
      <w:pPr>
        <w:pStyle w:val="Ttulo5"/>
        <w:numPr>
          <w:ilvl w:val="0"/>
          <w:numId w:val="43"/>
        </w:numPr>
        <w:spacing w:before="0" w:line="276" w:lineRule="auto"/>
        <w:rPr>
          <w:rFonts w:cs="Arial"/>
        </w:rPr>
      </w:pPr>
      <w:bookmarkStart w:id="128" w:name="_Toc86332938"/>
      <w:r w:rsidRPr="00AB1C80">
        <w:rPr>
          <w:rFonts w:cs="Arial"/>
        </w:rPr>
        <w:lastRenderedPageBreak/>
        <w:t xml:space="preserve">Sobre </w:t>
      </w:r>
      <w:r w:rsidR="002645CE" w:rsidRPr="00AB1C80">
        <w:rPr>
          <w:rFonts w:cs="Arial"/>
        </w:rPr>
        <w:t>m</w:t>
      </w:r>
      <w:r w:rsidRPr="00AB1C80">
        <w:rPr>
          <w:rFonts w:cs="Arial"/>
        </w:rPr>
        <w:t xml:space="preserve">odelos de </w:t>
      </w:r>
      <w:r w:rsidR="002645CE" w:rsidRPr="00AB1C80">
        <w:rPr>
          <w:rFonts w:cs="Arial"/>
        </w:rPr>
        <w:t>n</w:t>
      </w:r>
      <w:r w:rsidRPr="00AB1C80">
        <w:rPr>
          <w:rFonts w:cs="Arial"/>
        </w:rPr>
        <w:t xml:space="preserve">egocio de </w:t>
      </w:r>
      <w:r w:rsidR="002645CE" w:rsidRPr="00AB1C80">
        <w:rPr>
          <w:rFonts w:cs="Arial"/>
        </w:rPr>
        <w:t>e</w:t>
      </w:r>
      <w:r w:rsidRPr="00AB1C80">
        <w:rPr>
          <w:rFonts w:cs="Arial"/>
        </w:rPr>
        <w:t xml:space="preserve">conomía </w:t>
      </w:r>
      <w:r w:rsidR="002645CE" w:rsidRPr="00AB1C80">
        <w:rPr>
          <w:rFonts w:cs="Arial"/>
        </w:rPr>
        <w:t>c</w:t>
      </w:r>
      <w:r w:rsidRPr="00AB1C80">
        <w:rPr>
          <w:rFonts w:cs="Arial"/>
        </w:rPr>
        <w:t>ircular</w:t>
      </w:r>
      <w:bookmarkEnd w:id="128"/>
    </w:p>
    <w:p w14:paraId="4CF83211" w14:textId="2FEE56CA" w:rsidR="00F3736B" w:rsidRPr="00AB1C80" w:rsidRDefault="00F3736B" w:rsidP="00AB1C80">
      <w:pPr>
        <w:spacing w:line="276" w:lineRule="auto"/>
        <w:rPr>
          <w:rFonts w:cs="Arial"/>
          <w:b/>
          <w:i/>
          <w:szCs w:val="24"/>
        </w:rPr>
      </w:pPr>
      <w:r w:rsidRPr="00AB1C80">
        <w:rPr>
          <w:rFonts w:eastAsia="Calibri" w:cs="Arial"/>
          <w:szCs w:val="24"/>
        </w:rPr>
        <w:t xml:space="preserve">En publicación de Elsevier </w:t>
      </w:r>
      <w:r w:rsidR="00A54D0A" w:rsidRPr="00AB1C80">
        <w:rPr>
          <w:rFonts w:eastAsia="Calibri" w:cs="Arial"/>
          <w:szCs w:val="24"/>
        </w:rPr>
        <w:t>Ltd.</w:t>
      </w:r>
      <w:r w:rsidRPr="00AB1C80">
        <w:rPr>
          <w:rFonts w:eastAsia="Calibri" w:cs="Arial"/>
          <w:szCs w:val="24"/>
        </w:rPr>
        <w:t>, Jala y Goyal (2004) enuncian que la combustión de carbón bituminoso y sub-bituminoso y lignito para la generación de electricidad en plantas térmicas produce residuos sólidos, tal como cenizas volantes, cenizas de fondo, escoria de caldera y materiales desulfurizados del gas de combustión, los cuales son conocidos comúnmente como subproductos de la combustión de carbón.</w:t>
      </w:r>
    </w:p>
    <w:p w14:paraId="68A583F3"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Las cenizas volantes, resultado de la combustión del carbón a alta temperatura, se han considerado un residuo sólido problemático en todo el mundo. Se están evaluando muchas posibles aplicaciones beneficiosas de las cenizas volantes para minimizar el desperdicio, disminuir el costo de eliminación y proporcionar valor a productos añadidos. Los métodos convencionales de eliminación de cenizas volantes provocan la degradación de la tierra cultivable y la contaminación del suelo. Sin embargo, las cenizas volantes son un mejorador útil que puede mejorar las propiedades físicas, químicas y biológicas de los suelos problemáticos y es una fuente de macro y micronutrientes de plantas fácilmente disponibles.</w:t>
      </w:r>
    </w:p>
    <w:p w14:paraId="30C3EFF3"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67D8FB9E" w14:textId="77777777" w:rsidR="00F3736B" w:rsidRPr="00AB1C80" w:rsidRDefault="00F3736B" w:rsidP="00AB1C80">
      <w:pPr>
        <w:spacing w:line="276" w:lineRule="auto"/>
        <w:rPr>
          <w:rFonts w:eastAsia="Times New Roman" w:cs="Arial"/>
          <w:color w:val="202124"/>
          <w:szCs w:val="24"/>
          <w:highlight w:val="yellow"/>
          <w:lang w:eastAsia="es-CO"/>
        </w:rPr>
      </w:pPr>
      <w:r w:rsidRPr="00AB1C80">
        <w:rPr>
          <w:rFonts w:eastAsia="Times New Roman" w:cs="Arial"/>
          <w:color w:val="202124"/>
          <w:szCs w:val="24"/>
          <w:lang w:eastAsia="es-CO"/>
        </w:rPr>
        <w:t>Las propiedades mineralógicas, físicas y químicas de cenizas volantes dependen de la naturaleza del carbón madre, de las condiciones de combustión, del tipo de dispositivos de control de emisiones y métodos de almacenamiento y manipulación. Por lo tanto, la ceniza producida por la quema de antracita, el carbón bituminoso y lignito tiene diferentes composiciones.</w:t>
      </w:r>
    </w:p>
    <w:p w14:paraId="0A39BB09"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63C90B8E"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 presencia de casi todos los nutrientes vegetales esenciales en forma iónica que mejora el efecto físico, químico y la naturaleza microbiana del suelo, hace que las cenizas volantes sean útiles para la producción de cultivos, especialmente en diversos aspectos de suelos graduados y terrenos baldíos. Se ha propuesto la utilización agrícola de cenizas volantes debido a su considerable contenido de K, Ca, Mg, S y P. La adición de cenizas volantes generalmente aumenta el crecimiento de las plantas y la mejora de nutrientes</w:t>
      </w:r>
    </w:p>
    <w:p w14:paraId="32CD24C6" w14:textId="77777777" w:rsidR="00F3736B" w:rsidRPr="00AB1C80" w:rsidRDefault="00F3736B" w:rsidP="00AB1C80">
      <w:pPr>
        <w:spacing w:line="276" w:lineRule="auto"/>
        <w:rPr>
          <w:rFonts w:eastAsia="Times New Roman" w:cs="Arial"/>
          <w:color w:val="202124"/>
          <w:szCs w:val="24"/>
          <w:lang w:eastAsia="es-CO"/>
        </w:rPr>
      </w:pPr>
    </w:p>
    <w:p w14:paraId="03087FC6" w14:textId="486691B8" w:rsidR="00F3736B" w:rsidRPr="00AB1C80" w:rsidRDefault="00F3736B" w:rsidP="00AB1C80">
      <w:pPr>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En la India de más de 100 Mt de carbón, 4Mt se liberan a la atmósfera, que muestra que los subproductos de la combustión de carbón se han tratado en gran medida como materiales de desecho. Sin embargo, en el pasado reciente se ha identificado, </w:t>
      </w:r>
      <w:r w:rsidR="00D74A97" w:rsidRPr="00AB1C80">
        <w:rPr>
          <w:rFonts w:eastAsia="Times New Roman" w:cs="Arial"/>
          <w:color w:val="202124"/>
          <w:szCs w:val="24"/>
          <w:lang w:eastAsia="es-CO"/>
        </w:rPr>
        <w:t>que,</w:t>
      </w:r>
      <w:r w:rsidRPr="00AB1C80">
        <w:rPr>
          <w:rFonts w:eastAsia="Times New Roman" w:cs="Arial"/>
          <w:color w:val="202124"/>
          <w:szCs w:val="24"/>
          <w:lang w:eastAsia="es-CO"/>
        </w:rPr>
        <w:t xml:space="preserve"> debido a la presencia de elementos minerales básicos parecidos a los existentes en la corteza terrestre, los hacen excelentes para reemplazo de materiales naturales. De otra parte, pueden usarse como un sustituto del cemento Portland en la fabricación de techos, baldosas y como rellenos estructurales, placas de yeso, o como fertilizantes agrícolas y para mejoramiento del suelo, lo cual es un ejemplo de encadenamiento productivo y de modelo de economía circular.</w:t>
      </w:r>
    </w:p>
    <w:p w14:paraId="781A791C" w14:textId="77777777" w:rsidR="00F3736B" w:rsidRPr="00AB1C80" w:rsidRDefault="00F3736B" w:rsidP="00AB1C80">
      <w:pPr>
        <w:spacing w:line="276" w:lineRule="auto"/>
        <w:rPr>
          <w:rFonts w:eastAsia="Times New Roman" w:cs="Arial"/>
          <w:color w:val="202124"/>
          <w:szCs w:val="24"/>
          <w:lang w:eastAsia="es-CO"/>
        </w:rPr>
      </w:pPr>
    </w:p>
    <w:p w14:paraId="2AA5317E" w14:textId="77777777" w:rsidR="00F3736B" w:rsidRPr="00AB1C80" w:rsidRDefault="00F3736B" w:rsidP="00AB1C80">
      <w:pPr>
        <w:spacing w:line="276" w:lineRule="auto"/>
        <w:rPr>
          <w:rFonts w:eastAsia="Times New Roman" w:cs="Arial"/>
          <w:color w:val="202124"/>
          <w:szCs w:val="24"/>
          <w:highlight w:val="yellow"/>
          <w:lang w:eastAsia="es-CO"/>
        </w:rPr>
      </w:pPr>
      <w:r w:rsidRPr="00AB1C80">
        <w:rPr>
          <w:rFonts w:eastAsia="Times New Roman" w:cs="Arial"/>
          <w:color w:val="202124"/>
          <w:szCs w:val="24"/>
          <w:lang w:eastAsia="es-CO"/>
        </w:rPr>
        <w:t xml:space="preserve">En el artículo de </w:t>
      </w:r>
      <w:r w:rsidRPr="00AB1C80">
        <w:rPr>
          <w:rFonts w:eastAsia="Calibri" w:cs="Arial"/>
          <w:szCs w:val="24"/>
        </w:rPr>
        <w:t>Journal of Cleaner Production (2015), Jun Mo Park y Otros,</w:t>
      </w:r>
      <w:r w:rsidRPr="00AB1C80">
        <w:rPr>
          <w:rFonts w:eastAsia="Times New Roman" w:cs="Arial"/>
          <w:color w:val="202124"/>
          <w:szCs w:val="24"/>
          <w:lang w:eastAsia="es-CO"/>
        </w:rPr>
        <w:t xml:space="preserve"> presentan una revisión exhaustiva de la primera fase (2005-2010) del Programa Nacional de Desarrollo sobre Parques Ecoidustriales EIP de Corea. Como una necesidad nacional de mejorar el desempeño y competitividad de una base industrial existente, el gobierno coreano estableció el programa de parques ecoindustriales EIP (por sus siglas en inglés), a desarrollar en tres etapas o fases, para un término de 15 años. </w:t>
      </w:r>
    </w:p>
    <w:p w14:paraId="1E68852B" w14:textId="77777777" w:rsidR="00F3736B" w:rsidRPr="00AB1C80" w:rsidRDefault="00F3736B" w:rsidP="00AB1C80">
      <w:pPr>
        <w:spacing w:line="276" w:lineRule="auto"/>
        <w:rPr>
          <w:rFonts w:eastAsia="Calibri" w:cs="Arial"/>
          <w:szCs w:val="24"/>
        </w:rPr>
      </w:pPr>
    </w:p>
    <w:p w14:paraId="2AC986A8" w14:textId="77777777" w:rsidR="00F3736B" w:rsidRPr="00AB1C80" w:rsidRDefault="00F3736B" w:rsidP="00AB1C80">
      <w:pPr>
        <w:spacing w:line="276" w:lineRule="auto"/>
        <w:rPr>
          <w:rFonts w:eastAsia="Calibri" w:cs="Arial"/>
          <w:szCs w:val="24"/>
        </w:rPr>
      </w:pPr>
      <w:r w:rsidRPr="00AB1C80">
        <w:rPr>
          <w:rFonts w:eastAsia="Calibri" w:cs="Arial"/>
          <w:szCs w:val="24"/>
        </w:rPr>
        <w:t>Dicha revisión comprendió los siguientes aspectos:</w:t>
      </w:r>
    </w:p>
    <w:p w14:paraId="103FB22D" w14:textId="77777777" w:rsidR="00F3736B" w:rsidRPr="00AB1C80" w:rsidRDefault="00F3736B" w:rsidP="00AB1C80">
      <w:pPr>
        <w:spacing w:line="276" w:lineRule="auto"/>
        <w:rPr>
          <w:rFonts w:eastAsia="Calibri" w:cs="Arial"/>
          <w:szCs w:val="24"/>
        </w:rPr>
      </w:pPr>
    </w:p>
    <w:p w14:paraId="76A32556" w14:textId="77777777" w:rsidR="00F3736B" w:rsidRPr="00AB1C80" w:rsidRDefault="00F3736B" w:rsidP="00AB1C80">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La evolución del programa EIP coreano</w:t>
      </w:r>
    </w:p>
    <w:p w14:paraId="6BDC4EE6" w14:textId="77777777" w:rsidR="00F3736B" w:rsidRPr="00AB1C80" w:rsidRDefault="00F3736B" w:rsidP="00AB1C80">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Planificación del enfoque global de la simbiosis industrial basado en el análisis FODA</w:t>
      </w:r>
    </w:p>
    <w:p w14:paraId="7DCBB4BA" w14:textId="77777777" w:rsidR="00F3736B" w:rsidRPr="00AB1C80" w:rsidRDefault="00F3736B" w:rsidP="00AB1C80">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Estrategias para el desarrollo de proyectos de simbiosis industrial</w:t>
      </w:r>
    </w:p>
    <w:p w14:paraId="0AE1486C" w14:textId="77777777" w:rsidR="00F3736B" w:rsidRPr="00AB1C80" w:rsidRDefault="00F3736B" w:rsidP="00AB1C80">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Desarrollo del proyecto</w:t>
      </w:r>
    </w:p>
    <w:p w14:paraId="7FA40CA8" w14:textId="77777777" w:rsidR="00F3736B" w:rsidRPr="00AB1C80" w:rsidRDefault="00F3736B" w:rsidP="00AB1C80">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Éxitos y factores limitantes en la primera fase del programa EIP</w:t>
      </w:r>
    </w:p>
    <w:p w14:paraId="39BAFD03" w14:textId="77777777" w:rsidR="00D74A97" w:rsidRPr="00AB1C80" w:rsidRDefault="00D74A97"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386766D" w14:textId="7294B7CB"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Se pudo determinar </w:t>
      </w:r>
      <w:r w:rsidR="00D74A97" w:rsidRPr="00AB1C80">
        <w:rPr>
          <w:rFonts w:eastAsia="Times New Roman" w:cs="Arial"/>
          <w:color w:val="202124"/>
          <w:szCs w:val="24"/>
          <w:lang w:eastAsia="es-CO"/>
        </w:rPr>
        <w:t>que,</w:t>
      </w:r>
      <w:r w:rsidRPr="00AB1C80">
        <w:rPr>
          <w:rFonts w:eastAsia="Times New Roman" w:cs="Arial"/>
          <w:color w:val="202124"/>
          <w:szCs w:val="24"/>
          <w:lang w:eastAsia="es-CO"/>
        </w:rPr>
        <w:t xml:space="preserve"> durante su primera fase, el enfoque de EIP coreano comenzó a generar resultados tangibles de simbiosis industrial en los cinco sitios de proyectos piloto, que tienen condiciones locales muy diferentes. Esto implica que podría ser el primer enfoque general para el desarrollo de simbiosis industrial en cualquier lugar. Sin embargo, la aplicación de este enfoque también requiere una fina confección y ajustes de acuerdo con los contextos locales, que requiere el desarrollo del conocimiento tácito y la precisión de la experiencia.</w:t>
      </w:r>
    </w:p>
    <w:p w14:paraId="687A14ED" w14:textId="77777777" w:rsidR="00F3736B" w:rsidRPr="00AB1C80" w:rsidRDefault="00F3736B" w:rsidP="00AB1C80">
      <w:pPr>
        <w:spacing w:line="276" w:lineRule="auto"/>
        <w:rPr>
          <w:rFonts w:eastAsia="Calibri" w:cs="Arial"/>
          <w:szCs w:val="24"/>
        </w:rPr>
      </w:pPr>
    </w:p>
    <w:p w14:paraId="2E81C66E" w14:textId="77777777" w:rsidR="00F3736B" w:rsidRPr="00AB1C80" w:rsidRDefault="00F3736B" w:rsidP="00AB1C80">
      <w:pPr>
        <w:spacing w:line="276" w:lineRule="auto"/>
        <w:rPr>
          <w:rFonts w:eastAsia="Calibri" w:cs="Arial"/>
          <w:szCs w:val="24"/>
        </w:rPr>
      </w:pPr>
      <w:r w:rsidRPr="00AB1C80">
        <w:rPr>
          <w:rFonts w:eastAsia="Calibri" w:cs="Arial"/>
          <w:szCs w:val="24"/>
        </w:rPr>
        <w:t>Es de resaltar, que por medio de un análisis FODA se</w:t>
      </w:r>
      <w:r w:rsidRPr="00AB1C80">
        <w:rPr>
          <w:rFonts w:eastAsia="Times New Roman" w:cs="Arial"/>
          <w:color w:val="202124"/>
          <w:szCs w:val="24"/>
          <w:lang w:eastAsia="es-CO"/>
        </w:rPr>
        <w:t xml:space="preserve"> muestra cómo el plan original para los EIP coreanos cambió y evolucionó durante su implementación, donde se</w:t>
      </w:r>
      <w:r w:rsidRPr="00AB1C80">
        <w:rPr>
          <w:rFonts w:eastAsia="Calibri" w:cs="Arial"/>
          <w:szCs w:val="24"/>
        </w:rPr>
        <w:t xml:space="preserve"> pudieron examinar </w:t>
      </w:r>
      <w:r w:rsidRPr="00AB1C80">
        <w:rPr>
          <w:rFonts w:eastAsia="Times New Roman" w:cs="Arial"/>
          <w:color w:val="202124"/>
          <w:szCs w:val="24"/>
          <w:lang w:eastAsia="es-CO"/>
        </w:rPr>
        <w:t>los factores técnicos, económicos, legales / regulatorios y sociales para identificar los impulsores importantes para un mayor desarrollo de simbiosis industrial en Corea y en otros lugares. También se hace énfasis en las limitaciones encontradas en la experimentación piloto y se proponen estrategias avanzadas para la segunda fase, que tiene como objetivo ampliar los esfuerzos eco-industriales de desarrollo.</w:t>
      </w:r>
    </w:p>
    <w:p w14:paraId="43A626E1" w14:textId="77777777" w:rsidR="00F3736B" w:rsidRPr="00AB1C80" w:rsidRDefault="00F3736B" w:rsidP="00AB1C80">
      <w:pPr>
        <w:spacing w:line="276" w:lineRule="auto"/>
        <w:rPr>
          <w:rFonts w:eastAsia="Times New Roman" w:cs="Arial"/>
          <w:color w:val="202124"/>
          <w:szCs w:val="24"/>
          <w:lang w:eastAsia="es-CO"/>
        </w:rPr>
      </w:pPr>
    </w:p>
    <w:p w14:paraId="582E5310" w14:textId="77777777" w:rsidR="00F3736B" w:rsidRPr="00AB1C80" w:rsidRDefault="00F3736B" w:rsidP="00AB1C80">
      <w:pPr>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Importante es la participación de diversos actores, además de los actores empresariales, los centros regionales de EIP, las partes interesadas de empresas, universidades, institutos de investigación y gobiernos locales, como una forma de </w:t>
      </w:r>
      <w:r w:rsidRPr="00AB1C80">
        <w:rPr>
          <w:rFonts w:eastAsia="Times New Roman" w:cs="Arial"/>
          <w:color w:val="202124"/>
          <w:szCs w:val="24"/>
          <w:lang w:eastAsia="es-CO"/>
        </w:rPr>
        <w:lastRenderedPageBreak/>
        <w:t>promover la comunicación, el intercambio de información y la cooperación entre ellos.</w:t>
      </w:r>
    </w:p>
    <w:p w14:paraId="0435780A" w14:textId="77777777" w:rsidR="00F3736B" w:rsidRPr="00AB1C80" w:rsidRDefault="00F3736B" w:rsidP="00AB1C80">
      <w:pPr>
        <w:spacing w:line="276" w:lineRule="auto"/>
        <w:rPr>
          <w:rFonts w:eastAsia="Calibri" w:cs="Arial"/>
          <w:szCs w:val="24"/>
        </w:rPr>
      </w:pPr>
    </w:p>
    <w:p w14:paraId="124AC857" w14:textId="564713A0"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Vale resaltar algunos aspectos claves </w:t>
      </w:r>
      <w:r w:rsidR="00A54D0A" w:rsidRPr="00AB1C80">
        <w:rPr>
          <w:rFonts w:eastAsia="Times New Roman" w:cs="Arial"/>
          <w:color w:val="202124"/>
          <w:szCs w:val="24"/>
          <w:lang w:eastAsia="es-CO"/>
        </w:rPr>
        <w:t>para</w:t>
      </w:r>
      <w:r w:rsidRPr="00AB1C80">
        <w:rPr>
          <w:rFonts w:eastAsia="Times New Roman" w:cs="Arial"/>
          <w:color w:val="202124"/>
          <w:szCs w:val="24"/>
          <w:lang w:eastAsia="es-CO"/>
        </w:rPr>
        <w:t xml:space="preserve"> tener en cuenta, de esta revisión:</w:t>
      </w:r>
    </w:p>
    <w:p w14:paraId="59F467A1"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03863E8" w14:textId="77777777" w:rsidR="00F3736B" w:rsidRPr="00AB1C80" w:rsidRDefault="00F3736B" w:rsidP="00AB1C80">
      <w:pPr>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Sin personal dedicado, puede ser difícil para las empresas realizar actividades en proyectos de simbiosis industrial, que requieren trabajo extra para proyectos paralelos que no están en sus principales negocios.</w:t>
      </w:r>
    </w:p>
    <w:p w14:paraId="5E5D7BA5" w14:textId="77777777" w:rsidR="00F3736B" w:rsidRPr="00AB1C80" w:rsidRDefault="00F3736B" w:rsidP="00AB1C80">
      <w:pPr>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 xml:space="preserve">La característica del enfoque de EIP coreano es la combinación de enfoques de arriba hacia abajo y de abajo hacia arriba. </w:t>
      </w:r>
    </w:p>
    <w:p w14:paraId="435D43E8" w14:textId="77777777" w:rsidR="00F3736B" w:rsidRPr="00AB1C80" w:rsidRDefault="00F3736B" w:rsidP="00AB1C80">
      <w:pPr>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 xml:space="preserve">Los fondos no solo proporcionan fondos de investigación para movilizar empresas, sino también brindan apoyo durante todo el desarrollo y seguimiento del proyecto para seleccionar proyectos factibles de bajo costo y mantener resultados competitivos. </w:t>
      </w:r>
    </w:p>
    <w:p w14:paraId="6C02E263" w14:textId="77777777" w:rsidR="00F3736B" w:rsidRPr="00AB1C80" w:rsidRDefault="00F3736B" w:rsidP="00AB1C80">
      <w:pPr>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Además, cualquier estrategia, experiencia o   conocimiento, se puede compartir de manera más eficaz a través de conferencias, talleres y programas de capacitación.</w:t>
      </w:r>
    </w:p>
    <w:p w14:paraId="45B3D844" w14:textId="77777777" w:rsidR="00F3736B" w:rsidRPr="00AB1C80" w:rsidRDefault="00F3736B" w:rsidP="00AB1C80">
      <w:pPr>
        <w:spacing w:line="276" w:lineRule="auto"/>
        <w:rPr>
          <w:rFonts w:cs="Arial"/>
          <w:b/>
          <w:i/>
          <w:szCs w:val="24"/>
        </w:rPr>
      </w:pPr>
    </w:p>
    <w:p w14:paraId="1F7C7C8D" w14:textId="2B7AF29C" w:rsidR="00F3736B" w:rsidRPr="00AB1C80" w:rsidRDefault="00F3736B" w:rsidP="00AB1C80">
      <w:pPr>
        <w:pStyle w:val="Ttulo5"/>
        <w:numPr>
          <w:ilvl w:val="0"/>
          <w:numId w:val="43"/>
        </w:numPr>
        <w:spacing w:before="0" w:line="276" w:lineRule="auto"/>
        <w:rPr>
          <w:rFonts w:cs="Arial"/>
        </w:rPr>
      </w:pPr>
      <w:bookmarkStart w:id="129" w:name="_Toc86332939"/>
      <w:r w:rsidRPr="00AB1C80">
        <w:rPr>
          <w:rFonts w:cs="Arial"/>
        </w:rPr>
        <w:t xml:space="preserve">Sobre el </w:t>
      </w:r>
      <w:r w:rsidR="00D74A97" w:rsidRPr="00AB1C80">
        <w:rPr>
          <w:rFonts w:cs="Arial"/>
        </w:rPr>
        <w:t>f</w:t>
      </w:r>
      <w:r w:rsidRPr="00AB1C80">
        <w:rPr>
          <w:rFonts w:cs="Arial"/>
        </w:rPr>
        <w:t xml:space="preserve">inanciamiento de la </w:t>
      </w:r>
      <w:r w:rsidR="00D74A97" w:rsidRPr="00AB1C80">
        <w:rPr>
          <w:rFonts w:cs="Arial"/>
        </w:rPr>
        <w:t>e</w:t>
      </w:r>
      <w:r w:rsidRPr="00AB1C80">
        <w:rPr>
          <w:rFonts w:cs="Arial"/>
        </w:rPr>
        <w:t xml:space="preserve">conomía </w:t>
      </w:r>
      <w:r w:rsidR="00D74A97" w:rsidRPr="00AB1C80">
        <w:rPr>
          <w:rFonts w:cs="Arial"/>
        </w:rPr>
        <w:t>c</w:t>
      </w:r>
      <w:r w:rsidRPr="00AB1C80">
        <w:rPr>
          <w:rFonts w:cs="Arial"/>
        </w:rPr>
        <w:t>ircular</w:t>
      </w:r>
      <w:bookmarkEnd w:id="129"/>
    </w:p>
    <w:p w14:paraId="05C2EA85"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Según Ellen Macarthur Foundation, 2020, la economía circular está emergiendo rápidamente a nivel mundial, a medida que las empresas y los gobiernos reconocen cada vez más su potencial para abordar las causas fundamentales de cambio climático y otros desafíos globales, al mismo tiempo que genera nuevos y mejores oportunidades de crecimiento. Como solución que puede escalar rápidamente, su relevancia se vuelve más evidente en las discusiones recientes sobre la renovación económica.</w:t>
      </w:r>
    </w:p>
    <w:p w14:paraId="21AB93C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E50501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Todos los aspectos de las finanzas serán vitales para escalar la transición a la economía circular. Inversores del sector privado, bancos y departamentos de finanzas corporativas, así como gobiernos y otros organismos del sector público que controlan billones de dólares de inversión pública y establecen los marcos normativos, todos tienen un papel crucial que desempeñar.</w:t>
      </w:r>
    </w:p>
    <w:p w14:paraId="7A1D81A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903FB2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Este documento se centra en las finanzas del sector privado y explora el potencial de creación de valor de la economía circular para inversores, bancos y otras empresas de servicios financieros en crecimiento económico, yendo efectivamente más allá del progreso y enfoque inicial que la inversión ha logrado en los últimos años.</w:t>
      </w:r>
    </w:p>
    <w:p w14:paraId="08C7AB9E"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6F0F7DB3" w14:textId="77777777" w:rsidR="00F3736B" w:rsidRPr="00AB1C80" w:rsidRDefault="00F3736B" w:rsidP="00AB1C80">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lastRenderedPageBreak/>
        <w:t>En primer lugar, este documento muestra cómo la economía circular puede ayudar a lograr el cambio climático y otros objetivos ESG (Ambientales, sociales y de gobernanza) mientras se crean oportunidades para nuevas formas de mejorar el crecimiento económico,</w:t>
      </w:r>
    </w:p>
    <w:p w14:paraId="405629CC" w14:textId="77777777" w:rsidR="00F3736B" w:rsidRPr="00AB1C80" w:rsidRDefault="00F3736B" w:rsidP="00AB1C80">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En segundo lugar, destaca cómo los inversores, los bancos y las aseguradoras ya están capturando estas oportunidades, mostrando que el mercado de financiamiento de la economía circular está despegando rápidamente en todas las clases de activos y sectores.</w:t>
      </w:r>
    </w:p>
    <w:p w14:paraId="448E54FF" w14:textId="77777777" w:rsidR="00F3736B" w:rsidRPr="00AB1C80" w:rsidRDefault="00F3736B" w:rsidP="00AB1C80">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En tercer lugar, proporciona una dirección de viaje para que las finanzas capitalicen completamente la oportunidad al ayudar a escalar rápidamente la economía circular.</w:t>
      </w:r>
    </w:p>
    <w:p w14:paraId="235F84F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227CD8C4" w14:textId="11AD2A7E"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Ellen Macarthur Foundation estima que</w:t>
      </w:r>
      <w:r w:rsidR="00912A57" w:rsidRPr="00AB1C80">
        <w:rPr>
          <w:rFonts w:eastAsia="Times New Roman" w:cs="Arial"/>
          <w:color w:val="202124"/>
          <w:szCs w:val="24"/>
          <w:lang w:eastAsia="es-CO"/>
        </w:rPr>
        <w:t>,</w:t>
      </w:r>
      <w:r w:rsidRPr="00AB1C80">
        <w:rPr>
          <w:rFonts w:eastAsia="Times New Roman" w:cs="Arial"/>
          <w:color w:val="202124"/>
          <w:szCs w:val="24"/>
          <w:lang w:eastAsia="es-CO"/>
        </w:rPr>
        <w:t xml:space="preserve"> durante los dos últimos años, el cambio climático y otros aspectos, ambientales, sociales y de gobernanza (ESG) se han convertido en temas clave de la sala de juntas para administradores de activos, bancos y otras empresas de servicios financieros. Los clientes esperan soluciones y la presión regulatoria está aumentando. La pregunta ya no es si el cambio climático y otras cuestiones de ESG son importantes para el sector de los servicios financieros, sino cómo abordarlos. La economía circular es una parte crucial de la respuesta a esta pregunta.</w:t>
      </w:r>
    </w:p>
    <w:p w14:paraId="2A94934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20E39803"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Gobiernos, bancos centrales y los reguladores financieros pueden complementar y posibilitar el cambio en el sector privado. Los gobiernos pueden invertir directamente en actividades de economía circular e innovación, marcar la dirección y nivelar el campo de juego a través, por ejemplo, de precios externalidades. Pueden mejorar la transparencia al exigir divulgación y estandarización definiciones y métricas para actividades circulares, como en la taxonomía de la UE. Los bancos centrales y los reguladores financieros pueden integrar conceptos circulares en evaluaciones de riesgos y modelado, y podría explorar su integración en métodos menos convencionales como flexibilización cuantitativa verde. Soluciones de finanzas combinadas, de público, privado y capital filantrópico, puede financiar la infraestructura de la economía circular e Innovación a largo plazo.</w:t>
      </w:r>
    </w:p>
    <w:p w14:paraId="564B76EB"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281DE85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Cada vez son más las empresas innovando hacia la economía circular para reducir costos, aumentar los ingresos, y gestionar los riesgos. Las grandes corporaciones están haciendo compromisos audaces y tomando acción en línea con principios de economía circular. A medida que se amplían estos esfuerzos, la economía circular ha comenzado transformando industrias enteras. Los gobiernos cada vez más reconocen el potencial del marco de la economía circular para aumentar la </w:t>
      </w:r>
      <w:r w:rsidRPr="00AB1C80">
        <w:rPr>
          <w:rFonts w:eastAsia="Times New Roman" w:cs="Arial"/>
          <w:color w:val="202124"/>
          <w:szCs w:val="24"/>
          <w:lang w:eastAsia="es-CO"/>
        </w:rPr>
        <w:lastRenderedPageBreak/>
        <w:t>competitividad, desarrollar cadenas de suministro más resistentes y cumplir con los objetivos medioambientales.</w:t>
      </w:r>
    </w:p>
    <w:p w14:paraId="1E664830"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4EC2E55"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A continuación, se resumen algunas acciones para escalar la financiación de la economía circular, en el sector de servicios financieros:</w:t>
      </w:r>
    </w:p>
    <w:p w14:paraId="03BA4501"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BF5EDD7" w14:textId="77777777" w:rsidR="00F3736B" w:rsidRPr="00AB1C80" w:rsidRDefault="00F3736B" w:rsidP="00AB1C80">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Escalar la economía circular con productos financieros y servicios, construyendo pruebas de concepto sobre lo existente.</w:t>
      </w:r>
    </w:p>
    <w:p w14:paraId="44B2069B" w14:textId="77777777" w:rsidR="00F3736B" w:rsidRPr="00AB1C80" w:rsidRDefault="00F3736B" w:rsidP="00AB1C80">
      <w:pPr>
        <w:numPr>
          <w:ilvl w:val="0"/>
          <w:numId w:val="21"/>
        </w:numPr>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Integrar la economía circular dentro de estrategias, capacidades, objetivos y toma de decisiones en todas las líneas de negocio.</w:t>
      </w:r>
    </w:p>
    <w:p w14:paraId="7CB4364E" w14:textId="77777777" w:rsidR="00F3736B" w:rsidRPr="00AB1C80" w:rsidRDefault="00F3736B" w:rsidP="00AB1C80">
      <w:pPr>
        <w:numPr>
          <w:ilvl w:val="0"/>
          <w:numId w:val="21"/>
        </w:numPr>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Formalizar la economía circular a través de herramientas financieras y marcos, como aprobación de crédito, procesos marco de enlace circular, medición de circularidad.</w:t>
      </w:r>
    </w:p>
    <w:p w14:paraId="289451E9" w14:textId="77777777" w:rsidR="00F3736B" w:rsidRPr="00AB1C80" w:rsidRDefault="00F3736B" w:rsidP="00AB1C80">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Innovar, superar barreras y cerrar brechas de financiamiento a través de, p. ej. Transición bonos, préstamos vinculados a la circularidad, préstamos para circular más difícil de financiar modelos de negocio.</w:t>
      </w:r>
    </w:p>
    <w:p w14:paraId="5D172FF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szCs w:val="24"/>
          <w:lang w:eastAsia="es-CO"/>
        </w:rPr>
      </w:pPr>
    </w:p>
    <w:p w14:paraId="5D98B64E" w14:textId="5112CC22" w:rsidR="00F3736B" w:rsidRPr="00AB1C80" w:rsidRDefault="00F3736B" w:rsidP="00AB1C80">
      <w:pPr>
        <w:pStyle w:val="Ttulo5"/>
        <w:numPr>
          <w:ilvl w:val="0"/>
          <w:numId w:val="43"/>
        </w:numPr>
        <w:spacing w:before="0" w:line="276" w:lineRule="auto"/>
        <w:rPr>
          <w:rFonts w:cs="Arial"/>
        </w:rPr>
      </w:pPr>
      <w:bookmarkStart w:id="130" w:name="_Toc86332940"/>
      <w:r w:rsidRPr="00AB1C80">
        <w:rPr>
          <w:rFonts w:cs="Arial"/>
        </w:rPr>
        <w:t xml:space="preserve">Sobre la cultura de la </w:t>
      </w:r>
      <w:r w:rsidR="00912A57" w:rsidRPr="00AB1C80">
        <w:rPr>
          <w:rFonts w:cs="Arial"/>
        </w:rPr>
        <w:t>e</w:t>
      </w:r>
      <w:r w:rsidRPr="00AB1C80">
        <w:rPr>
          <w:rFonts w:cs="Arial"/>
        </w:rPr>
        <w:t xml:space="preserve">conomía </w:t>
      </w:r>
      <w:r w:rsidR="00912A57" w:rsidRPr="00AB1C80">
        <w:rPr>
          <w:rFonts w:cs="Arial"/>
        </w:rPr>
        <w:t>c</w:t>
      </w:r>
      <w:r w:rsidRPr="00AB1C80">
        <w:rPr>
          <w:rFonts w:cs="Arial"/>
        </w:rPr>
        <w:t>ircular</w:t>
      </w:r>
      <w:bookmarkEnd w:id="130"/>
    </w:p>
    <w:p w14:paraId="4696AD6B" w14:textId="565385F0" w:rsidR="00F3736B" w:rsidRPr="00AB1C80" w:rsidRDefault="00F3736B" w:rsidP="00AB1C80">
      <w:pPr>
        <w:spacing w:line="276" w:lineRule="auto"/>
        <w:rPr>
          <w:rFonts w:eastAsia="Calibri" w:cs="Arial"/>
          <w:szCs w:val="24"/>
        </w:rPr>
      </w:pPr>
      <w:r w:rsidRPr="00AB1C80">
        <w:rPr>
          <w:rFonts w:eastAsia="Calibri" w:cs="Arial"/>
          <w:szCs w:val="24"/>
        </w:rPr>
        <w:t>En su escrito Lehmann (2020), promueve sobre el cambio cultural que permita comenzar a modificar conductas en la forma de producción y consumo, pasando de una economía lineal hacia una circular, en la que pueda entenderse a los materiales y a los residuos como recursos para otros procesos de generación de valor, y expone algunos conceptos que amerita su consideración</w:t>
      </w:r>
      <w:r w:rsidR="00912A57" w:rsidRPr="00AB1C80">
        <w:rPr>
          <w:rFonts w:eastAsia="Calibri" w:cs="Arial"/>
          <w:szCs w:val="24"/>
        </w:rPr>
        <w:t>.</w:t>
      </w:r>
    </w:p>
    <w:p w14:paraId="5D462FD0" w14:textId="77777777" w:rsidR="00912A57" w:rsidRPr="00AB1C80" w:rsidRDefault="00912A57" w:rsidP="00AB1C80">
      <w:pPr>
        <w:spacing w:line="276" w:lineRule="auto"/>
        <w:rPr>
          <w:rFonts w:eastAsia="Calibri" w:cs="Arial"/>
          <w:szCs w:val="24"/>
        </w:rPr>
      </w:pPr>
    </w:p>
    <w:p w14:paraId="1D87CEF8" w14:textId="77777777" w:rsidR="00F3736B" w:rsidRPr="00AB1C80" w:rsidRDefault="00F3736B" w:rsidP="00AB1C80">
      <w:pPr>
        <w:numPr>
          <w:ilvl w:val="0"/>
          <w:numId w:val="23"/>
        </w:numPr>
        <w:spacing w:line="276" w:lineRule="auto"/>
        <w:contextualSpacing/>
        <w:rPr>
          <w:rFonts w:eastAsia="Calibri" w:cs="Arial"/>
          <w:szCs w:val="24"/>
        </w:rPr>
      </w:pPr>
      <w:r w:rsidRPr="00AB1C80">
        <w:rPr>
          <w:rFonts w:eastAsia="Calibri" w:cs="Arial"/>
          <w:szCs w:val="24"/>
        </w:rPr>
        <w:t>Orígenes de la Economía Circular: Escuelas de pensamiento</w:t>
      </w:r>
    </w:p>
    <w:p w14:paraId="7E1BC58C" w14:textId="77777777" w:rsidR="00F3736B" w:rsidRPr="00AB1C80" w:rsidRDefault="00F3736B" w:rsidP="00AB1C80">
      <w:pPr>
        <w:spacing w:line="276" w:lineRule="auto"/>
        <w:ind w:left="720"/>
        <w:contextualSpacing/>
        <w:rPr>
          <w:rFonts w:eastAsia="Calibri" w:cs="Arial"/>
          <w:szCs w:val="24"/>
        </w:rPr>
      </w:pPr>
    </w:p>
    <w:p w14:paraId="0A769AAD"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Diseño regenerativo</w:t>
      </w:r>
      <w:r w:rsidRPr="00AB1C80">
        <w:rPr>
          <w:rFonts w:eastAsia="Calibri" w:cs="Arial"/>
          <w:szCs w:val="24"/>
        </w:rPr>
        <w:t xml:space="preserve">: (Estados Unidos)- se contempla este tipo de diseño para otras industrias, no solo la agricultura. </w:t>
      </w:r>
    </w:p>
    <w:p w14:paraId="03189A6B"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Economía del rendimiento:</w:t>
      </w:r>
      <w:r w:rsidRPr="00AB1C80">
        <w:rPr>
          <w:rFonts w:eastAsia="Calibri" w:cs="Arial"/>
          <w:szCs w:val="24"/>
        </w:rPr>
        <w:t xml:space="preserve"> (Comisión europea)- impacto en la creación de empleo, competitividad económica, ahorro de recursos y prevención de residuos. Persigue cuatro objetivos principales: la extensión de la vida del producto, los bienes de larga duración, las actividades de reacondicionamiento y la prevención de residuos. </w:t>
      </w:r>
    </w:p>
    <w:p w14:paraId="61E8BDDB"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De la cuna a la cuna:</w:t>
      </w:r>
      <w:r w:rsidRPr="00AB1C80">
        <w:rPr>
          <w:rFonts w:eastAsia="Calibri" w:cs="Arial"/>
          <w:szCs w:val="24"/>
        </w:rPr>
        <w:t xml:space="preserve"> esta filosofía de diseño considera todos los materiales empleados en los procesos industriales y comerciales como nutrientes, de los cuales hay dos categorías principales: los técnicos y biológicos.</w:t>
      </w:r>
    </w:p>
    <w:p w14:paraId="38C8633D"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lastRenderedPageBreak/>
        <w:t xml:space="preserve">Ecología Industrial: </w:t>
      </w:r>
      <w:r w:rsidRPr="00AB1C80">
        <w:rPr>
          <w:rFonts w:eastAsia="Calibri" w:cs="Arial"/>
          <w:szCs w:val="24"/>
        </w:rPr>
        <w:t>tiene como objetivo crear procesos de circuito cerrado en el que los residuos sirven de entrada para otro proceso, eliminando la noción de un subproducto no aprovechable.</w:t>
      </w:r>
    </w:p>
    <w:p w14:paraId="7A93DC1F"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 xml:space="preserve">Biomímesis: </w:t>
      </w:r>
      <w:r w:rsidRPr="00AB1C80">
        <w:rPr>
          <w:rFonts w:eastAsia="Calibri" w:cs="Arial"/>
          <w:szCs w:val="24"/>
        </w:rPr>
        <w:t>disciplina que estudia las mejores ideas de la naturaleza y luego imita estos diseños y procesos para resolver problemas humanos. La biomímesis se basa en tres principios fundamentales: La Naturaleza como modelo, La Naturaleza como medida y La Naturaleza como mentor.</w:t>
      </w:r>
    </w:p>
    <w:p w14:paraId="15707D9C"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Economía azul:</w:t>
      </w:r>
      <w:r w:rsidRPr="00AB1C80">
        <w:rPr>
          <w:rFonts w:eastAsia="Calibri" w:cs="Arial"/>
          <w:szCs w:val="24"/>
        </w:rPr>
        <w:t xml:space="preserve"> insiste en soluciones que están determinadas por su entorno local y las características físicas y ecológicas, haciendo hincapié en la gravedad como principal fuente de energía.</w:t>
      </w:r>
    </w:p>
    <w:p w14:paraId="178F9654" w14:textId="77777777" w:rsidR="00F3736B" w:rsidRPr="00AB1C80" w:rsidRDefault="00F3736B" w:rsidP="00AB1C80">
      <w:pPr>
        <w:numPr>
          <w:ilvl w:val="0"/>
          <w:numId w:val="24"/>
        </w:numPr>
        <w:spacing w:line="276" w:lineRule="auto"/>
        <w:ind w:left="993" w:hanging="284"/>
        <w:contextualSpacing/>
        <w:rPr>
          <w:rFonts w:eastAsia="Calibri" w:cs="Arial"/>
          <w:szCs w:val="24"/>
        </w:rPr>
      </w:pPr>
      <w:r w:rsidRPr="00AB1C80">
        <w:rPr>
          <w:rFonts w:eastAsia="Calibri" w:cs="Arial"/>
          <w:szCs w:val="24"/>
          <w:u w:val="single"/>
        </w:rPr>
        <w:t>Capitalismo natural:</w:t>
      </w:r>
      <w:r w:rsidRPr="00AB1C80">
        <w:rPr>
          <w:rFonts w:eastAsia="Calibri" w:cs="Arial"/>
          <w:szCs w:val="24"/>
        </w:rPr>
        <w:t xml:space="preserve"> los siguientes cuatro principios son la base del capitalismo natural. 1) Incrementar radicalmente la productividad de los recursos naturales, 2) Cambiar a modelos y materiales de producción inspirados biológicamente, 3) Avanzar hacia un modelo de negocio basado en “servicio y flujo y 4) Reinvertir en el capital natural. </w:t>
      </w:r>
    </w:p>
    <w:p w14:paraId="7A86C105" w14:textId="77777777" w:rsidR="00F3736B" w:rsidRPr="00AB1C80" w:rsidRDefault="00F3736B" w:rsidP="00AB1C80">
      <w:pPr>
        <w:spacing w:line="276" w:lineRule="auto"/>
        <w:ind w:left="720"/>
        <w:contextualSpacing/>
        <w:rPr>
          <w:rFonts w:eastAsia="Calibri" w:cs="Arial"/>
          <w:szCs w:val="24"/>
        </w:rPr>
      </w:pPr>
    </w:p>
    <w:p w14:paraId="1EA7D8FA" w14:textId="77777777" w:rsidR="00F3736B" w:rsidRPr="00AB1C80" w:rsidRDefault="00F3736B" w:rsidP="00AB1C80">
      <w:pPr>
        <w:numPr>
          <w:ilvl w:val="0"/>
          <w:numId w:val="23"/>
        </w:numPr>
        <w:spacing w:line="276" w:lineRule="auto"/>
        <w:contextualSpacing/>
        <w:rPr>
          <w:rFonts w:eastAsia="Calibri" w:cs="Arial"/>
          <w:szCs w:val="24"/>
        </w:rPr>
      </w:pPr>
      <w:r w:rsidRPr="00AB1C80">
        <w:rPr>
          <w:rFonts w:eastAsia="Calibri" w:cs="Arial"/>
          <w:szCs w:val="24"/>
        </w:rPr>
        <w:t xml:space="preserve">Beneficios de la implementación de una economía circular </w:t>
      </w:r>
    </w:p>
    <w:p w14:paraId="283BA18C" w14:textId="77777777" w:rsidR="00F3736B" w:rsidRPr="00AB1C80" w:rsidRDefault="00F3736B" w:rsidP="00AB1C80">
      <w:pPr>
        <w:spacing w:line="276" w:lineRule="auto"/>
        <w:ind w:left="720"/>
        <w:contextualSpacing/>
        <w:rPr>
          <w:rFonts w:eastAsia="Calibri" w:cs="Arial"/>
          <w:szCs w:val="24"/>
        </w:rPr>
      </w:pPr>
    </w:p>
    <w:p w14:paraId="12B15094" w14:textId="77777777" w:rsidR="00F3736B" w:rsidRPr="00AB1C80" w:rsidRDefault="00F3736B" w:rsidP="00AB1C80">
      <w:pPr>
        <w:numPr>
          <w:ilvl w:val="0"/>
          <w:numId w:val="25"/>
        </w:numPr>
        <w:spacing w:line="276" w:lineRule="auto"/>
        <w:ind w:left="993" w:hanging="284"/>
        <w:contextualSpacing/>
        <w:rPr>
          <w:rFonts w:eastAsia="Calibri" w:cs="Arial"/>
          <w:szCs w:val="24"/>
        </w:rPr>
      </w:pPr>
      <w:r w:rsidRPr="00AB1C80">
        <w:rPr>
          <w:rFonts w:eastAsia="Calibri" w:cs="Arial"/>
          <w:szCs w:val="24"/>
        </w:rPr>
        <w:t>Económicos: crecimiento económico, ahorros netos de costos de materiales, potencial de creación de empleo, innovación y nuevas ideas de negocios.</w:t>
      </w:r>
    </w:p>
    <w:p w14:paraId="376CF3A4" w14:textId="77777777" w:rsidR="00F3736B" w:rsidRPr="00AB1C80" w:rsidRDefault="00F3736B" w:rsidP="00AB1C80">
      <w:pPr>
        <w:numPr>
          <w:ilvl w:val="0"/>
          <w:numId w:val="25"/>
        </w:numPr>
        <w:spacing w:line="276" w:lineRule="auto"/>
        <w:ind w:left="993" w:hanging="284"/>
        <w:contextualSpacing/>
        <w:rPr>
          <w:rFonts w:eastAsia="Calibri" w:cs="Arial"/>
          <w:szCs w:val="24"/>
        </w:rPr>
      </w:pPr>
      <w:r w:rsidRPr="00AB1C80">
        <w:rPr>
          <w:rFonts w:eastAsia="Calibri" w:cs="Arial"/>
          <w:szCs w:val="24"/>
        </w:rPr>
        <w:t>Medioambientales y del conjunto del sistema: disminución de las emisiones de dióxido de carbono, reducción del consumo de materias primas, productividad y salud del suelo, reducción de las externalidades negativas.</w:t>
      </w:r>
    </w:p>
    <w:p w14:paraId="69CBA50E" w14:textId="77777777" w:rsidR="00F3736B" w:rsidRPr="00AB1C80" w:rsidRDefault="00F3736B" w:rsidP="00AB1C80">
      <w:pPr>
        <w:numPr>
          <w:ilvl w:val="0"/>
          <w:numId w:val="25"/>
        </w:numPr>
        <w:spacing w:line="276" w:lineRule="auto"/>
        <w:ind w:left="993" w:hanging="284"/>
        <w:contextualSpacing/>
        <w:rPr>
          <w:rFonts w:eastAsia="Calibri" w:cs="Arial"/>
          <w:szCs w:val="24"/>
        </w:rPr>
      </w:pPr>
      <w:r w:rsidRPr="00AB1C80">
        <w:rPr>
          <w:rFonts w:eastAsia="Calibri" w:cs="Arial"/>
          <w:szCs w:val="24"/>
        </w:rPr>
        <w:t>Empresas: reducir costos de insumos, menor volatilidad y mayor seguridad del suministro, demanda de nuevos servicios empresariales, mayor interacción y lealtad de los clientes.</w:t>
      </w:r>
    </w:p>
    <w:p w14:paraId="4487F90E" w14:textId="77777777" w:rsidR="00F3736B" w:rsidRPr="00AB1C80" w:rsidRDefault="00F3736B" w:rsidP="00AB1C80">
      <w:pPr>
        <w:numPr>
          <w:ilvl w:val="0"/>
          <w:numId w:val="25"/>
        </w:numPr>
        <w:spacing w:line="276" w:lineRule="auto"/>
        <w:ind w:left="993" w:hanging="284"/>
        <w:contextualSpacing/>
        <w:rPr>
          <w:rFonts w:eastAsia="Calibri" w:cs="Arial"/>
          <w:szCs w:val="24"/>
        </w:rPr>
      </w:pPr>
      <w:r w:rsidRPr="00AB1C80">
        <w:rPr>
          <w:rFonts w:eastAsia="Calibri" w:cs="Arial"/>
          <w:szCs w:val="24"/>
        </w:rPr>
        <w:t>Ciudadanos: mayor renta disponible (menor costo de productos y servicios, y conversión del tiempo improductivo en productivo), mayor utilidad (calidad adicional que ofrecen los modelos circulares), reducción de la obsolescencia programada (productos hechos para durar poco).</w:t>
      </w:r>
    </w:p>
    <w:p w14:paraId="2F6A684D" w14:textId="77777777" w:rsidR="00F3736B" w:rsidRPr="00AB1C80" w:rsidRDefault="00F3736B" w:rsidP="00AB1C80">
      <w:pPr>
        <w:spacing w:line="276" w:lineRule="auto"/>
        <w:ind w:left="720"/>
        <w:contextualSpacing/>
        <w:rPr>
          <w:rFonts w:eastAsia="Calibri" w:cs="Arial"/>
          <w:szCs w:val="24"/>
        </w:rPr>
      </w:pPr>
      <w:r w:rsidRPr="00AB1C80">
        <w:rPr>
          <w:rFonts w:eastAsia="Calibri" w:cs="Arial"/>
          <w:szCs w:val="24"/>
        </w:rPr>
        <w:t xml:space="preserve"> </w:t>
      </w:r>
    </w:p>
    <w:p w14:paraId="20302020" w14:textId="77777777" w:rsidR="00F3736B" w:rsidRPr="00AB1C80" w:rsidRDefault="00F3736B" w:rsidP="00AB1C80">
      <w:pPr>
        <w:numPr>
          <w:ilvl w:val="0"/>
          <w:numId w:val="23"/>
        </w:numPr>
        <w:spacing w:line="276" w:lineRule="auto"/>
        <w:contextualSpacing/>
        <w:rPr>
          <w:rFonts w:eastAsia="Calibri" w:cs="Arial"/>
          <w:szCs w:val="24"/>
        </w:rPr>
      </w:pPr>
      <w:r w:rsidRPr="00AB1C80">
        <w:rPr>
          <w:rFonts w:eastAsia="Calibri" w:cs="Arial"/>
          <w:szCs w:val="24"/>
        </w:rPr>
        <w:t>Principios de la Economía Circular</w:t>
      </w:r>
    </w:p>
    <w:p w14:paraId="714D3068" w14:textId="77777777" w:rsidR="00F3736B" w:rsidRPr="00AB1C80" w:rsidRDefault="00F3736B" w:rsidP="00AB1C80">
      <w:pPr>
        <w:spacing w:line="276" w:lineRule="auto"/>
        <w:ind w:left="720"/>
        <w:contextualSpacing/>
        <w:rPr>
          <w:rFonts w:eastAsia="Calibri" w:cs="Arial"/>
          <w:szCs w:val="24"/>
        </w:rPr>
      </w:pPr>
    </w:p>
    <w:p w14:paraId="3946FC3E" w14:textId="77777777" w:rsidR="00F3736B" w:rsidRPr="00AB1C80" w:rsidRDefault="00F3736B" w:rsidP="00AB1C80">
      <w:pPr>
        <w:numPr>
          <w:ilvl w:val="0"/>
          <w:numId w:val="26"/>
        </w:numPr>
        <w:spacing w:line="276" w:lineRule="auto"/>
        <w:ind w:left="993" w:hanging="284"/>
        <w:contextualSpacing/>
        <w:rPr>
          <w:rFonts w:eastAsia="Calibri" w:cs="Arial"/>
          <w:szCs w:val="24"/>
        </w:rPr>
      </w:pPr>
      <w:r w:rsidRPr="00AB1C80">
        <w:rPr>
          <w:rFonts w:eastAsia="Calibri" w:cs="Arial"/>
          <w:szCs w:val="24"/>
        </w:rPr>
        <w:t>Principio 1: Preservar y mejorar el capital natural</w:t>
      </w:r>
    </w:p>
    <w:p w14:paraId="7347B71A" w14:textId="77777777" w:rsidR="00F3736B" w:rsidRPr="00AB1C80" w:rsidRDefault="00F3736B" w:rsidP="00AB1C80">
      <w:pPr>
        <w:numPr>
          <w:ilvl w:val="0"/>
          <w:numId w:val="26"/>
        </w:numPr>
        <w:spacing w:line="276" w:lineRule="auto"/>
        <w:ind w:left="993" w:hanging="284"/>
        <w:contextualSpacing/>
        <w:rPr>
          <w:rFonts w:eastAsia="Calibri" w:cs="Arial"/>
          <w:szCs w:val="24"/>
        </w:rPr>
      </w:pPr>
      <w:r w:rsidRPr="00AB1C80">
        <w:rPr>
          <w:rFonts w:eastAsia="Calibri" w:cs="Arial"/>
          <w:szCs w:val="24"/>
        </w:rPr>
        <w:t xml:space="preserve">Principio 2: Optimizar el rendimiento de los recursos. </w:t>
      </w:r>
    </w:p>
    <w:p w14:paraId="214865D2" w14:textId="77777777" w:rsidR="00F3736B" w:rsidRPr="00AB1C80" w:rsidRDefault="00F3736B" w:rsidP="00AB1C80">
      <w:pPr>
        <w:numPr>
          <w:ilvl w:val="0"/>
          <w:numId w:val="26"/>
        </w:numPr>
        <w:spacing w:line="276" w:lineRule="auto"/>
        <w:ind w:left="993" w:hanging="284"/>
        <w:contextualSpacing/>
        <w:rPr>
          <w:rFonts w:eastAsia="Calibri" w:cs="Arial"/>
          <w:szCs w:val="24"/>
        </w:rPr>
      </w:pPr>
      <w:r w:rsidRPr="00AB1C80">
        <w:rPr>
          <w:rFonts w:eastAsia="Calibri" w:cs="Arial"/>
          <w:szCs w:val="24"/>
        </w:rPr>
        <w:t xml:space="preserve">Principio 3: Regeneración del medio natural. </w:t>
      </w:r>
    </w:p>
    <w:p w14:paraId="7176E90D" w14:textId="77777777" w:rsidR="00F3736B" w:rsidRPr="00AB1C80" w:rsidRDefault="00F3736B" w:rsidP="00AB1C80">
      <w:pPr>
        <w:spacing w:line="276" w:lineRule="auto"/>
        <w:ind w:left="720"/>
        <w:contextualSpacing/>
        <w:rPr>
          <w:rFonts w:eastAsia="Calibri" w:cs="Arial"/>
          <w:szCs w:val="24"/>
        </w:rPr>
      </w:pPr>
    </w:p>
    <w:p w14:paraId="79D787AA"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La economía circular trasciende a la política pública al requerir un cambio cultural.</w:t>
      </w:r>
    </w:p>
    <w:p w14:paraId="5C7C6CFB"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La forma de producir tras la pandemia será mediante nuevos modelos de negocios que generen beneficios a partir de innovar con nuevos paradigmas como la economía circular.</w:t>
      </w:r>
    </w:p>
    <w:p w14:paraId="2C6DCC80"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La economía circular ha dejado de ser una disciplina limitada a grupos especializados y ha logrado el reconocimiento mundial como una herramienta que puede impulsar los cambios en los procesos económicos al tiempo que genere ganancias, respete el ambiente y tenga beneficios sociales.</w:t>
      </w:r>
    </w:p>
    <w:p w14:paraId="0B4B12E2"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El esquema del marco RESOLVE contempla gran parte de las actuaciones basadas en la aplicación de los principios y fundamentos de la economía circular, así como la utilización de las herramientas, mecanismos, tecnologías y prácticas que ayudan a su puesta en marcha y desarrollo.</w:t>
      </w:r>
    </w:p>
    <w:p w14:paraId="5A202D69"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Los tres principales desafíos para la implementación de la Economía Circular son: Integración, Vinculación, Seguridad.</w:t>
      </w:r>
    </w:p>
    <w:p w14:paraId="1F7AEFA9" w14:textId="77777777" w:rsidR="00F3736B" w:rsidRPr="00AB1C80" w:rsidRDefault="00F3736B" w:rsidP="00AB1C80">
      <w:pPr>
        <w:numPr>
          <w:ilvl w:val="0"/>
          <w:numId w:val="27"/>
        </w:numPr>
        <w:spacing w:line="276" w:lineRule="auto"/>
        <w:contextualSpacing/>
        <w:rPr>
          <w:rFonts w:eastAsia="Calibri" w:cs="Arial"/>
          <w:szCs w:val="24"/>
        </w:rPr>
      </w:pPr>
      <w:r w:rsidRPr="00AB1C80">
        <w:rPr>
          <w:rFonts w:eastAsia="Calibri" w:cs="Arial"/>
          <w:szCs w:val="24"/>
        </w:rPr>
        <w:t>Barreras para tener en cuenta para el desarrollo pleno de la Economía Circular:</w:t>
      </w:r>
    </w:p>
    <w:p w14:paraId="4A48EA0E" w14:textId="77777777" w:rsidR="00F3736B" w:rsidRPr="00AB1C80" w:rsidRDefault="00F3736B" w:rsidP="00AB1C80">
      <w:pPr>
        <w:spacing w:line="276" w:lineRule="auto"/>
        <w:ind w:left="720"/>
        <w:contextualSpacing/>
        <w:rPr>
          <w:rFonts w:eastAsia="Calibri" w:cs="Arial"/>
          <w:szCs w:val="24"/>
        </w:rPr>
      </w:pPr>
    </w:p>
    <w:p w14:paraId="6A47F5BF" w14:textId="77777777" w:rsidR="00F3736B" w:rsidRPr="00AB1C80" w:rsidRDefault="00F3736B" w:rsidP="00AB1C80">
      <w:pPr>
        <w:pStyle w:val="Prrafodelista"/>
        <w:numPr>
          <w:ilvl w:val="0"/>
          <w:numId w:val="42"/>
        </w:numPr>
        <w:spacing w:line="276" w:lineRule="auto"/>
        <w:rPr>
          <w:rFonts w:eastAsia="Calibri" w:cs="Arial"/>
          <w:szCs w:val="24"/>
        </w:rPr>
      </w:pPr>
      <w:r w:rsidRPr="00AB1C80">
        <w:rPr>
          <w:rFonts w:eastAsia="Calibri" w:cs="Arial"/>
          <w:szCs w:val="24"/>
        </w:rPr>
        <w:t xml:space="preserve">Políticas y de regulación </w:t>
      </w:r>
    </w:p>
    <w:p w14:paraId="65AB9858" w14:textId="77777777" w:rsidR="00F3736B" w:rsidRPr="00AB1C80" w:rsidRDefault="00F3736B" w:rsidP="00AB1C80">
      <w:pPr>
        <w:pStyle w:val="Prrafodelista"/>
        <w:numPr>
          <w:ilvl w:val="0"/>
          <w:numId w:val="42"/>
        </w:numPr>
        <w:spacing w:line="276" w:lineRule="auto"/>
        <w:rPr>
          <w:rFonts w:eastAsia="Calibri" w:cs="Arial"/>
          <w:szCs w:val="24"/>
        </w:rPr>
      </w:pPr>
      <w:r w:rsidRPr="00AB1C80">
        <w:rPr>
          <w:rFonts w:eastAsia="Calibri" w:cs="Arial"/>
          <w:szCs w:val="24"/>
        </w:rPr>
        <w:t>De aceptación cultural</w:t>
      </w:r>
    </w:p>
    <w:p w14:paraId="030060C2" w14:textId="77777777" w:rsidR="00F3736B" w:rsidRPr="00AB1C80" w:rsidRDefault="00F3736B" w:rsidP="00AB1C80">
      <w:pPr>
        <w:pStyle w:val="Prrafodelista"/>
        <w:numPr>
          <w:ilvl w:val="0"/>
          <w:numId w:val="42"/>
        </w:numPr>
        <w:spacing w:line="276" w:lineRule="auto"/>
        <w:rPr>
          <w:rFonts w:eastAsia="Calibri" w:cs="Arial"/>
          <w:szCs w:val="24"/>
        </w:rPr>
      </w:pPr>
      <w:r w:rsidRPr="00AB1C80">
        <w:rPr>
          <w:rFonts w:eastAsia="Calibri" w:cs="Arial"/>
          <w:szCs w:val="24"/>
        </w:rPr>
        <w:t xml:space="preserve">De acceso a la financiación y económicas </w:t>
      </w:r>
    </w:p>
    <w:p w14:paraId="408C9E76" w14:textId="77777777" w:rsidR="00F3736B" w:rsidRPr="00AB1C80" w:rsidRDefault="00F3736B" w:rsidP="00AB1C80">
      <w:pPr>
        <w:pStyle w:val="Prrafodelista"/>
        <w:numPr>
          <w:ilvl w:val="0"/>
          <w:numId w:val="42"/>
        </w:numPr>
        <w:spacing w:line="276" w:lineRule="auto"/>
        <w:rPr>
          <w:rFonts w:eastAsia="Calibri" w:cs="Arial"/>
          <w:szCs w:val="24"/>
        </w:rPr>
      </w:pPr>
      <w:r w:rsidRPr="00AB1C80">
        <w:rPr>
          <w:rFonts w:eastAsia="Calibri" w:cs="Arial"/>
          <w:szCs w:val="24"/>
        </w:rPr>
        <w:t>Tecnológicas y en las infraestructuras</w:t>
      </w:r>
    </w:p>
    <w:p w14:paraId="6DA7E03F" w14:textId="77777777" w:rsidR="00F3736B" w:rsidRPr="00AB1C80" w:rsidRDefault="00F3736B" w:rsidP="00AB1C80">
      <w:pPr>
        <w:pStyle w:val="Prrafodelista"/>
        <w:spacing w:line="276" w:lineRule="auto"/>
        <w:ind w:left="0"/>
        <w:rPr>
          <w:rFonts w:eastAsia="Calibri" w:cs="Arial"/>
          <w:szCs w:val="24"/>
        </w:rPr>
      </w:pPr>
    </w:p>
    <w:p w14:paraId="7489E21C" w14:textId="77777777" w:rsidR="00F65034" w:rsidRPr="00AB1C80" w:rsidRDefault="00F65034" w:rsidP="00F65034">
      <w:pPr>
        <w:pStyle w:val="Ttulo5"/>
        <w:numPr>
          <w:ilvl w:val="0"/>
          <w:numId w:val="43"/>
        </w:numPr>
        <w:spacing w:before="0" w:line="276" w:lineRule="auto"/>
        <w:rPr>
          <w:rFonts w:cs="Arial"/>
          <w:b w:val="0"/>
          <w:i w:val="0"/>
        </w:rPr>
      </w:pPr>
      <w:bookmarkStart w:id="131" w:name="_Toc86332937"/>
      <w:bookmarkStart w:id="132" w:name="_Toc86332941"/>
      <w:r w:rsidRPr="00AB1C80">
        <w:rPr>
          <w:rFonts w:cs="Arial"/>
        </w:rPr>
        <w:t>La economía circular en la actividad minera</w:t>
      </w:r>
      <w:bookmarkEnd w:id="131"/>
    </w:p>
    <w:p w14:paraId="68B4434E" w14:textId="77777777" w:rsidR="00F65034" w:rsidRPr="00AB1C80" w:rsidRDefault="00F65034" w:rsidP="00F65034">
      <w:pPr>
        <w:spacing w:line="276" w:lineRule="auto"/>
        <w:rPr>
          <w:rFonts w:eastAsia="Times New Roman" w:cs="Arial"/>
          <w:color w:val="000000"/>
          <w:szCs w:val="24"/>
        </w:rPr>
      </w:pPr>
      <w:r w:rsidRPr="00AB1C80">
        <w:rPr>
          <w:rFonts w:eastAsia="Calibri" w:cs="Arial"/>
          <w:szCs w:val="24"/>
        </w:rPr>
        <w:t xml:space="preserve">Zhaoa y otros (2012) </w:t>
      </w:r>
      <w:r w:rsidRPr="00AB1C80">
        <w:rPr>
          <w:rFonts w:eastAsia="Times New Roman" w:cs="Arial"/>
          <w:color w:val="000000"/>
          <w:szCs w:val="24"/>
        </w:rPr>
        <w:t xml:space="preserve">reseñan que la implementación de la economía circular minera en China inició en los años 90’s y en las últimas décadas se ha orientado desde la visión de disminución de las emisiones, el uso racional de recursos y energía, el reciclaje de residuos y la disposición adecuada de éstos y corresponde a un ciclo cerrado de flujo de material, bajo el modelo de: Recursos minerales, Productos y Recursos minerales renovables. Esta economía ecológica busca una “Producción óptima, consumo óptimo y desperdicio mínimo”, basada en el principio de las 3R: Reducir (método de entrada), Reusar (método de procedimiento) y Reciclar (método de salida). </w:t>
      </w:r>
    </w:p>
    <w:p w14:paraId="66870058" w14:textId="77777777" w:rsidR="00F65034" w:rsidRPr="00AB1C80" w:rsidRDefault="00F65034" w:rsidP="00F65034">
      <w:pPr>
        <w:spacing w:line="276" w:lineRule="auto"/>
        <w:rPr>
          <w:rFonts w:eastAsia="Times New Roman" w:cs="Arial"/>
          <w:color w:val="000000"/>
          <w:szCs w:val="24"/>
        </w:rPr>
      </w:pPr>
    </w:p>
    <w:p w14:paraId="64251738" w14:textId="77777777" w:rsidR="00F65034" w:rsidRPr="00AB1C80" w:rsidRDefault="00F65034" w:rsidP="00F65034">
      <w:pPr>
        <w:spacing w:line="276" w:lineRule="auto"/>
        <w:rPr>
          <w:rFonts w:eastAsia="Times New Roman" w:cs="Arial"/>
          <w:szCs w:val="24"/>
        </w:rPr>
      </w:pPr>
      <w:r w:rsidRPr="00AB1C80">
        <w:rPr>
          <w:rFonts w:eastAsia="Times New Roman" w:cs="Arial"/>
          <w:color w:val="000000"/>
          <w:szCs w:val="24"/>
        </w:rPr>
        <w:t xml:space="preserve">La economía circular minera en los diferentes niveles del proyecto minero y su entorno se pueden describir en: Nivel de empresa minera o grupo de mineros (economía circular a nivel micro), Parque minero ecológico o área minera ecológica </w:t>
      </w:r>
      <w:r w:rsidRPr="00AB1C80">
        <w:rPr>
          <w:rFonts w:eastAsia="Times New Roman" w:cs="Arial"/>
          <w:color w:val="000000"/>
          <w:szCs w:val="24"/>
        </w:rPr>
        <w:lastRenderedPageBreak/>
        <w:t>(modo de simbiosis industrial) y Circulación social (forzar el cierre de la economía circular minera para los diferentes tipos de materiales y a diferentes escalas). Para lograr la implementación de la economía circular minera, es fundamental la elaboración de un modelo específico para el proyecto minero, teniendo en cuenta las particularidades de éste.</w:t>
      </w:r>
    </w:p>
    <w:p w14:paraId="7DF8A4B8" w14:textId="77777777" w:rsidR="00F65034" w:rsidRPr="00AB1C80" w:rsidRDefault="00F65034" w:rsidP="00F65034">
      <w:pPr>
        <w:spacing w:line="276" w:lineRule="auto"/>
        <w:contextualSpacing/>
        <w:rPr>
          <w:rFonts w:eastAsia="Calibri" w:cs="Arial"/>
          <w:szCs w:val="24"/>
        </w:rPr>
      </w:pPr>
    </w:p>
    <w:p w14:paraId="46D41DD4" w14:textId="77777777" w:rsidR="00F65034" w:rsidRPr="00AB1C80" w:rsidRDefault="00F65034" w:rsidP="00F65034">
      <w:pPr>
        <w:spacing w:line="276" w:lineRule="auto"/>
        <w:contextualSpacing/>
        <w:rPr>
          <w:rFonts w:eastAsia="Calibri" w:cs="Arial"/>
          <w:bCs/>
          <w:szCs w:val="24"/>
        </w:rPr>
      </w:pPr>
      <w:r w:rsidRPr="00AB1C80">
        <w:rPr>
          <w:rFonts w:eastAsia="Calibri" w:cs="Arial"/>
          <w:szCs w:val="24"/>
        </w:rPr>
        <w:t xml:space="preserve">En la aplicación práctica del modelo de economía circular minera, se considera el </w:t>
      </w:r>
      <w:r w:rsidRPr="00AB1C80">
        <w:rPr>
          <w:rFonts w:eastAsia="Calibri" w:cs="Arial"/>
          <w:bCs/>
          <w:szCs w:val="24"/>
        </w:rPr>
        <w:t>establecimiento de un modelo de economía circular minera, que contempla los siguientes aspectos:</w:t>
      </w:r>
    </w:p>
    <w:p w14:paraId="528938F0" w14:textId="77777777" w:rsidR="00F65034" w:rsidRPr="00AB1C80" w:rsidRDefault="00F65034" w:rsidP="00F65034">
      <w:pPr>
        <w:spacing w:line="276" w:lineRule="auto"/>
        <w:contextualSpacing/>
        <w:rPr>
          <w:rFonts w:eastAsia="Calibri" w:cs="Arial"/>
          <w:szCs w:val="24"/>
        </w:rPr>
      </w:pPr>
    </w:p>
    <w:p w14:paraId="755A30BE" w14:textId="77777777" w:rsidR="00F65034" w:rsidRPr="00AB1C80" w:rsidRDefault="00F65034" w:rsidP="00F65034">
      <w:pPr>
        <w:pStyle w:val="Prrafodelista"/>
        <w:numPr>
          <w:ilvl w:val="0"/>
          <w:numId w:val="30"/>
        </w:numPr>
        <w:spacing w:line="276" w:lineRule="auto"/>
        <w:ind w:left="426" w:hanging="284"/>
        <w:rPr>
          <w:rFonts w:eastAsia="Calibri" w:cs="Arial"/>
          <w:szCs w:val="24"/>
        </w:rPr>
      </w:pPr>
      <w:r w:rsidRPr="00AB1C80">
        <w:rPr>
          <w:rFonts w:eastAsia="Calibri" w:cs="Arial"/>
          <w:szCs w:val="24"/>
        </w:rPr>
        <w:t>Se debe iniciar con la elaboración de un modelo razonable para aumentar el nivel de energía circular dentro del proceso desarrollado por la industria minera.</w:t>
      </w:r>
    </w:p>
    <w:p w14:paraId="200CD5E6" w14:textId="77777777" w:rsidR="00F65034" w:rsidRPr="00AB1C80" w:rsidRDefault="00F65034" w:rsidP="00F65034">
      <w:pPr>
        <w:pStyle w:val="Prrafodelista"/>
        <w:numPr>
          <w:ilvl w:val="0"/>
          <w:numId w:val="30"/>
        </w:numPr>
        <w:spacing w:line="276" w:lineRule="auto"/>
        <w:ind w:left="426" w:hanging="284"/>
        <w:rPr>
          <w:rFonts w:eastAsia="Calibri" w:cs="Arial"/>
          <w:szCs w:val="24"/>
        </w:rPr>
      </w:pPr>
      <w:r w:rsidRPr="00AB1C80">
        <w:rPr>
          <w:rFonts w:eastAsia="Calibri" w:cs="Arial"/>
          <w:szCs w:val="24"/>
        </w:rPr>
        <w:t>El modelo debe ser específico para el proyecto minero, teniendo en cuenta las particularidades de este (ubicación, comunidades aledañas, tipo de mineral, entorno natural, ambiental y social en el que se desarrolla el proyecto).</w:t>
      </w:r>
    </w:p>
    <w:p w14:paraId="2776892F" w14:textId="77777777" w:rsidR="00F65034" w:rsidRPr="00AB1C80" w:rsidRDefault="00F65034" w:rsidP="00F65034">
      <w:pPr>
        <w:pStyle w:val="Prrafodelista"/>
        <w:numPr>
          <w:ilvl w:val="0"/>
          <w:numId w:val="30"/>
        </w:numPr>
        <w:spacing w:line="276" w:lineRule="auto"/>
        <w:ind w:left="426" w:hanging="284"/>
        <w:rPr>
          <w:rFonts w:eastAsia="Calibri" w:cs="Arial"/>
          <w:szCs w:val="24"/>
        </w:rPr>
      </w:pPr>
      <w:r w:rsidRPr="00AB1C80">
        <w:rPr>
          <w:rFonts w:eastAsia="Calibri" w:cs="Arial"/>
          <w:szCs w:val="24"/>
        </w:rPr>
        <w:t>Identificar claramente cada uno de los procesos, incluyendo flujos de materiales, recursos requeridos, tipo y cantidad de residuos generados, energía requerida y posibles pérdidas para cada una de las actividades del proceso.</w:t>
      </w:r>
    </w:p>
    <w:p w14:paraId="0979A57F" w14:textId="77777777" w:rsidR="00F65034" w:rsidRPr="00AB1C80" w:rsidRDefault="00F65034" w:rsidP="00F65034">
      <w:pPr>
        <w:pStyle w:val="Prrafodelista"/>
        <w:numPr>
          <w:ilvl w:val="0"/>
          <w:numId w:val="30"/>
        </w:numPr>
        <w:spacing w:line="276" w:lineRule="auto"/>
        <w:ind w:left="426" w:hanging="284"/>
        <w:rPr>
          <w:rFonts w:eastAsia="Calibri" w:cs="Arial"/>
          <w:szCs w:val="24"/>
        </w:rPr>
      </w:pPr>
      <w:r w:rsidRPr="00AB1C80">
        <w:rPr>
          <w:rFonts w:eastAsia="Calibri" w:cs="Arial"/>
          <w:szCs w:val="24"/>
        </w:rPr>
        <w:t>Determinar las oportunidades de mejora dentro del proceso en donde pueda ser aplicada la economía circular.</w:t>
      </w:r>
    </w:p>
    <w:p w14:paraId="1ACEAF50" w14:textId="77777777" w:rsidR="00F65034" w:rsidRPr="00AB1C80" w:rsidRDefault="00F65034" w:rsidP="00F65034">
      <w:pPr>
        <w:pStyle w:val="Prrafodelista"/>
        <w:numPr>
          <w:ilvl w:val="0"/>
          <w:numId w:val="30"/>
        </w:numPr>
        <w:spacing w:line="276" w:lineRule="auto"/>
        <w:ind w:left="426" w:hanging="284"/>
        <w:rPr>
          <w:rFonts w:eastAsia="Calibri" w:cs="Arial"/>
          <w:szCs w:val="24"/>
        </w:rPr>
      </w:pPr>
      <w:r w:rsidRPr="00AB1C80">
        <w:rPr>
          <w:rFonts w:eastAsia="Calibri" w:cs="Arial"/>
          <w:szCs w:val="24"/>
        </w:rPr>
        <w:t>Determinar el tipo de simbiosis industrial que podría desarrollarse en el entorno del proyecto</w:t>
      </w:r>
    </w:p>
    <w:p w14:paraId="0628500E" w14:textId="77777777" w:rsidR="00F65034" w:rsidRPr="00AB1C80" w:rsidRDefault="00F65034" w:rsidP="00F65034">
      <w:pPr>
        <w:pStyle w:val="Prrafodelista"/>
        <w:spacing w:line="276" w:lineRule="auto"/>
        <w:ind w:left="-142" w:firstLine="862"/>
        <w:rPr>
          <w:rFonts w:cs="Arial"/>
          <w:b/>
          <w:i/>
          <w:szCs w:val="24"/>
        </w:rPr>
      </w:pPr>
    </w:p>
    <w:p w14:paraId="5393E135" w14:textId="77777777" w:rsidR="00F65034" w:rsidRPr="00AB1C80" w:rsidRDefault="00F65034" w:rsidP="00F65034">
      <w:pPr>
        <w:spacing w:line="276" w:lineRule="auto"/>
        <w:rPr>
          <w:rFonts w:eastAsia="Times New Roman" w:cs="Arial"/>
          <w:color w:val="000000"/>
          <w:szCs w:val="24"/>
        </w:rPr>
      </w:pPr>
      <w:r w:rsidRPr="00AB1C80">
        <w:rPr>
          <w:rFonts w:eastAsia="Times New Roman" w:cs="Arial"/>
          <w:color w:val="000000"/>
          <w:szCs w:val="24"/>
        </w:rPr>
        <w:t xml:space="preserve">En el trabajo de investigación en el Instituto de Minerales Sostenibles - Boletín Aus IMM de la Universidad de Queensland en Australia realizado por </w:t>
      </w:r>
      <w:r w:rsidRPr="00AB1C80">
        <w:rPr>
          <w:rFonts w:cs="Arial"/>
          <w:i/>
          <w:szCs w:val="24"/>
        </w:rPr>
        <w:t>A Golev y otros</w:t>
      </w:r>
      <w:r w:rsidRPr="00AB1C80">
        <w:rPr>
          <w:rFonts w:cs="Arial"/>
          <w:b/>
          <w:i/>
          <w:szCs w:val="24"/>
        </w:rPr>
        <w:t xml:space="preserve"> </w:t>
      </w:r>
      <w:r w:rsidRPr="00AB1C80">
        <w:rPr>
          <w:rFonts w:cs="Arial"/>
          <w:szCs w:val="24"/>
        </w:rPr>
        <w:t>en</w:t>
      </w:r>
      <w:r w:rsidRPr="00AB1C80">
        <w:rPr>
          <w:rFonts w:eastAsia="Times New Roman" w:cs="Arial"/>
          <w:color w:val="000000"/>
          <w:szCs w:val="24"/>
        </w:rPr>
        <w:t xml:space="preserve"> el 2016, han propuesto un marco que permite evaluar el desempeño de una explotación minera con respecto al flujo circular de minerales. Teniendo estas secciones: 1. El primero establece un conjunto de indicadores de flujo de material (IMF), como las pérdidas de minerales por residuos, 2. El segundo examina el ciclo de vida de la mina sobre una base más cualitativa. Distinguir estas dos dimensiones es relevante ya que puede haber más de un proyecto minero sobre una misma mina. Con esto, es también es posible demostrar la mala gestión de residuos, el cierre prematuro y las estrategias extractivas ineficientes que pueden amplificar las pérdidas de minerales (ya sea de forma temporal o permanente) mediante la neutralización de recursos y los DAM. La identificación de prácticas y estrategias que anticipen el uso futuro de material más allá de la vida de un proyecto minero y / o contribuir a hacer proyectos mineros es económicamente viable a largo plazo (y, en consecuencia, evitar interrupciones) ayudará a prevenir estos problemas.</w:t>
      </w:r>
    </w:p>
    <w:p w14:paraId="6B3389F7" w14:textId="77777777" w:rsidR="00F65034" w:rsidRPr="00AB1C80" w:rsidRDefault="00F65034" w:rsidP="00F65034">
      <w:pPr>
        <w:spacing w:line="276" w:lineRule="auto"/>
        <w:rPr>
          <w:rFonts w:eastAsia="Times New Roman" w:cs="Arial"/>
          <w:color w:val="000000"/>
          <w:szCs w:val="24"/>
        </w:rPr>
      </w:pPr>
    </w:p>
    <w:p w14:paraId="3340AF29" w14:textId="77777777" w:rsidR="00F65034" w:rsidRPr="00AB1C80" w:rsidRDefault="00F65034" w:rsidP="00F65034">
      <w:pPr>
        <w:spacing w:line="276" w:lineRule="auto"/>
        <w:rPr>
          <w:rFonts w:eastAsia="Calibri" w:cs="Arial"/>
          <w:szCs w:val="24"/>
        </w:rPr>
      </w:pPr>
      <w:r w:rsidRPr="00AB1C80">
        <w:rPr>
          <w:rFonts w:eastAsia="Calibri" w:cs="Arial"/>
          <w:szCs w:val="24"/>
        </w:rPr>
        <w:lastRenderedPageBreak/>
        <w:t>De otra parte, AFRICAN CIRCULAR ECONOMY ALLIANCE y OTROS (2020) reseñan que La Alianza de Economía Circular de África ("ACEA" o "La Alianza") fue concebida en 2016 durante el Foro de Economía Mundial sobre África en Kigali y lanzado formalmente en Bonn en 2018.</w:t>
      </w:r>
    </w:p>
    <w:p w14:paraId="538C770F" w14:textId="77777777" w:rsidR="00F65034" w:rsidRPr="00AB1C80" w:rsidRDefault="00F65034" w:rsidP="00F65034">
      <w:pPr>
        <w:spacing w:line="276" w:lineRule="auto"/>
        <w:rPr>
          <w:rFonts w:eastAsia="Calibri" w:cs="Arial"/>
          <w:szCs w:val="24"/>
        </w:rPr>
      </w:pPr>
    </w:p>
    <w:p w14:paraId="4EC05902" w14:textId="77777777" w:rsidR="00F65034" w:rsidRPr="00AB1C80" w:rsidRDefault="00F65034" w:rsidP="00F65034">
      <w:pPr>
        <w:spacing w:line="276" w:lineRule="auto"/>
        <w:rPr>
          <w:rFonts w:eastAsia="Calibri" w:cs="Arial"/>
          <w:szCs w:val="24"/>
        </w:rPr>
      </w:pPr>
      <w:r w:rsidRPr="00AB1C80">
        <w:rPr>
          <w:rFonts w:eastAsia="Calibri" w:cs="Arial"/>
          <w:szCs w:val="24"/>
        </w:rPr>
        <w:t>Con base en lo anterior, se definen algunos beneficios y/o ventajas referentes a la economía circular en el sector minero que establece este documento:</w:t>
      </w:r>
    </w:p>
    <w:p w14:paraId="44238468" w14:textId="77777777" w:rsidR="00F65034" w:rsidRPr="00AB1C80" w:rsidRDefault="00F65034" w:rsidP="00F65034">
      <w:pPr>
        <w:spacing w:line="276" w:lineRule="auto"/>
        <w:rPr>
          <w:rFonts w:eastAsia="Calibri" w:cs="Arial"/>
          <w:szCs w:val="24"/>
        </w:rPr>
      </w:pPr>
    </w:p>
    <w:p w14:paraId="219B6C17" w14:textId="77777777" w:rsidR="00F65034" w:rsidRPr="00AB1C80" w:rsidRDefault="00F65034" w:rsidP="00F65034">
      <w:pPr>
        <w:spacing w:line="276" w:lineRule="auto"/>
        <w:ind w:left="426" w:hanging="142"/>
        <w:rPr>
          <w:rFonts w:eastAsia="Calibri" w:cs="Arial"/>
          <w:szCs w:val="24"/>
        </w:rPr>
      </w:pPr>
      <w:r w:rsidRPr="00AB1C80">
        <w:rPr>
          <w:rFonts w:eastAsia="Calibri" w:cs="Arial"/>
          <w:szCs w:val="24"/>
        </w:rPr>
        <w:t>• La economía circular, ofrece a las empresas mineras oportunidades para disminuir los costos operativos y aumentar la eficiencia mediante la optimización de recursos, dado que las empresas mineras buscan constantemente formas de disminuir los costos y aumentar la eficiencia para maximizar las ganancias.</w:t>
      </w:r>
    </w:p>
    <w:p w14:paraId="628E6DD1" w14:textId="77777777" w:rsidR="00F65034" w:rsidRPr="00AB1C80" w:rsidRDefault="00F65034" w:rsidP="00F65034">
      <w:pPr>
        <w:spacing w:line="276" w:lineRule="auto"/>
        <w:ind w:left="426" w:hanging="142"/>
        <w:rPr>
          <w:rFonts w:eastAsia="Calibri" w:cs="Arial"/>
          <w:szCs w:val="24"/>
        </w:rPr>
      </w:pPr>
      <w:r w:rsidRPr="00AB1C80">
        <w:rPr>
          <w:rFonts w:eastAsia="Calibri" w:cs="Arial"/>
          <w:szCs w:val="24"/>
        </w:rPr>
        <w:t>• La economía circular, ayuda a las empresas mineras a responder al cambio global en la demanda de los consumidores hacia productos ecológicos y alejados del modelo económico lineal. Este cambio afectara en última instancia a los materiales que se utilizan en los productos de consumo, incluidos los materiales suministrados por la industria minera.</w:t>
      </w:r>
    </w:p>
    <w:p w14:paraId="0D17E55D" w14:textId="77777777" w:rsidR="00F65034" w:rsidRPr="00AB1C80" w:rsidRDefault="00F65034" w:rsidP="00F65034">
      <w:pPr>
        <w:spacing w:line="276" w:lineRule="auto"/>
        <w:ind w:left="426" w:hanging="142"/>
        <w:rPr>
          <w:rFonts w:eastAsia="Calibri" w:cs="Arial"/>
          <w:b/>
          <w:szCs w:val="24"/>
        </w:rPr>
      </w:pPr>
      <w:r w:rsidRPr="00AB1C80">
        <w:rPr>
          <w:rFonts w:eastAsia="Calibri" w:cs="Arial"/>
          <w:szCs w:val="24"/>
        </w:rPr>
        <w:t>• La economía circular, prepara a las empresas mineras para aceptar el cambio de los estándares ambientales establecidos por Instituciones mineras globales como el Consejo Internacional de Minería y Metales (ICMM) adoptando la economía circular como parte de sus evaluaciones y marco de presentación de informes a través de Global Reporting Initiative (GRI) el cual junto con la Fundación Ellen MacArthur toman la iniciativa de crear estos tipos de reportes para documentar la circularidad de las empresas.</w:t>
      </w:r>
    </w:p>
    <w:p w14:paraId="68C6CC9E" w14:textId="77777777" w:rsidR="00F65034" w:rsidRPr="00AB1C80" w:rsidRDefault="00F65034" w:rsidP="00F65034">
      <w:pPr>
        <w:spacing w:line="276" w:lineRule="auto"/>
        <w:contextualSpacing/>
        <w:rPr>
          <w:rFonts w:eastAsia="Times New Roman" w:cs="Arial"/>
          <w:color w:val="000000"/>
          <w:szCs w:val="24"/>
          <w:lang w:eastAsia="es-CO"/>
        </w:rPr>
      </w:pPr>
    </w:p>
    <w:p w14:paraId="2DA4AD34" w14:textId="77777777" w:rsidR="00F65034" w:rsidRPr="00AB1C80" w:rsidRDefault="00F65034" w:rsidP="00F65034">
      <w:pPr>
        <w:spacing w:line="276" w:lineRule="auto"/>
        <w:contextualSpacing/>
        <w:rPr>
          <w:rFonts w:eastAsia="Times New Roman" w:cs="Arial"/>
          <w:color w:val="000000"/>
          <w:szCs w:val="24"/>
          <w:lang w:eastAsia="es-CO"/>
        </w:rPr>
      </w:pPr>
      <w:r w:rsidRPr="00AB1C80">
        <w:rPr>
          <w:rFonts w:eastAsia="Times New Roman" w:cs="Arial"/>
          <w:color w:val="000000"/>
          <w:szCs w:val="24"/>
          <w:lang w:eastAsia="es-CO"/>
        </w:rPr>
        <w:t>Alguna de las acciones claves discutidas en el informe, incluyen:</w:t>
      </w:r>
    </w:p>
    <w:p w14:paraId="21957BA2" w14:textId="77777777" w:rsidR="00F65034" w:rsidRPr="00AB1C80" w:rsidRDefault="00F65034" w:rsidP="00F65034">
      <w:pPr>
        <w:spacing w:line="276" w:lineRule="auto"/>
        <w:contextualSpacing/>
        <w:rPr>
          <w:rFonts w:eastAsia="Times New Roman" w:cs="Arial"/>
          <w:color w:val="000000"/>
          <w:szCs w:val="24"/>
          <w:lang w:eastAsia="es-CO"/>
        </w:rPr>
      </w:pPr>
    </w:p>
    <w:p w14:paraId="7EB4C439" w14:textId="77777777" w:rsidR="00F65034" w:rsidRPr="00AB1C80" w:rsidRDefault="00F65034" w:rsidP="00F65034">
      <w:pPr>
        <w:spacing w:line="276" w:lineRule="auto"/>
        <w:ind w:left="426" w:hanging="142"/>
        <w:contextualSpacing/>
        <w:rPr>
          <w:rFonts w:eastAsia="Times New Roman" w:cs="Arial"/>
          <w:color w:val="000000"/>
          <w:szCs w:val="24"/>
          <w:lang w:eastAsia="es-CO"/>
        </w:rPr>
      </w:pPr>
      <w:r w:rsidRPr="00AB1C80">
        <w:rPr>
          <w:rFonts w:eastAsia="Times New Roman" w:cs="Arial"/>
          <w:color w:val="000000"/>
          <w:szCs w:val="24"/>
          <w:lang w:eastAsia="es-CO"/>
        </w:rPr>
        <w:t>• Integrar la economía circular en las políticas mineras y el cumplimiento: los gobiernos integran la economía circular en las políticas mineras y articulan la hoja de ruta de la industria hacia la circularidad. La hoja de ruta debe ser claro en lo que el gobierno prevé que se convierta la industria. Presentar las iniciativas de transparencia en las cadenas de valor y suministro podrían mejorar la trazabilidad, que es fundamental para reciclaje. Además, las empresas mineras pueden considerarse socios de los gobiernos en la configuración Política de economía circular en la industria.</w:t>
      </w:r>
    </w:p>
    <w:p w14:paraId="77D8BEC2" w14:textId="77777777" w:rsidR="00F65034" w:rsidRPr="00AB1C80" w:rsidRDefault="00F65034" w:rsidP="00F65034">
      <w:pPr>
        <w:spacing w:line="276" w:lineRule="auto"/>
        <w:ind w:left="426" w:hanging="142"/>
        <w:contextualSpacing/>
        <w:rPr>
          <w:rFonts w:eastAsia="Times New Roman" w:cs="Arial"/>
          <w:color w:val="000000"/>
          <w:szCs w:val="24"/>
          <w:lang w:eastAsia="es-CO"/>
        </w:rPr>
      </w:pPr>
    </w:p>
    <w:p w14:paraId="511B02A6" w14:textId="77777777" w:rsidR="00F65034" w:rsidRPr="00AB1C80" w:rsidRDefault="00F65034" w:rsidP="00F65034">
      <w:pPr>
        <w:spacing w:line="276" w:lineRule="auto"/>
        <w:ind w:left="426" w:hanging="142"/>
        <w:contextualSpacing/>
        <w:rPr>
          <w:rFonts w:eastAsia="Times New Roman" w:cs="Arial"/>
          <w:color w:val="000000"/>
          <w:szCs w:val="24"/>
          <w:lang w:eastAsia="es-CO"/>
        </w:rPr>
      </w:pPr>
      <w:r w:rsidRPr="00AB1C80">
        <w:rPr>
          <w:rFonts w:eastAsia="Times New Roman" w:cs="Arial"/>
          <w:color w:val="000000"/>
          <w:szCs w:val="24"/>
          <w:lang w:eastAsia="es-CO"/>
        </w:rPr>
        <w:t xml:space="preserve">• Crear incentivos regulatorios y monetarios: los gobiernos crean políticas que mantienen la minería como industrias responsables del daño ambiental que causan al medio ambiente, como responsabilidad ampliada del productor. </w:t>
      </w:r>
      <w:r w:rsidRPr="00AB1C80">
        <w:rPr>
          <w:rFonts w:eastAsia="Times New Roman" w:cs="Arial"/>
          <w:color w:val="000000"/>
          <w:szCs w:val="24"/>
          <w:lang w:eastAsia="es-CO"/>
        </w:rPr>
        <w:lastRenderedPageBreak/>
        <w:t>Además de eso, los incentivos monetarios son importantes para apoyar a la industria durante la transición hacia la circularidad. Estos incluyen recortes de impuestos, subsidios y políticas macroeconómicas amigables para hacer la transición hacia la circularidad.</w:t>
      </w:r>
    </w:p>
    <w:p w14:paraId="144182FC" w14:textId="77777777" w:rsidR="00F65034" w:rsidRPr="00AB1C80" w:rsidRDefault="00F65034" w:rsidP="00F65034">
      <w:pPr>
        <w:spacing w:line="276" w:lineRule="auto"/>
        <w:ind w:left="426" w:hanging="142"/>
        <w:contextualSpacing/>
        <w:rPr>
          <w:rFonts w:eastAsia="Times New Roman" w:cs="Arial"/>
          <w:color w:val="000000"/>
          <w:szCs w:val="24"/>
          <w:lang w:eastAsia="es-CO"/>
        </w:rPr>
      </w:pPr>
    </w:p>
    <w:p w14:paraId="304AA782" w14:textId="77777777" w:rsidR="00F65034" w:rsidRPr="00AB1C80" w:rsidRDefault="00F65034" w:rsidP="00F65034">
      <w:pPr>
        <w:spacing w:line="276" w:lineRule="auto"/>
        <w:ind w:left="426" w:hanging="142"/>
        <w:contextualSpacing/>
        <w:rPr>
          <w:rFonts w:eastAsia="Times New Roman" w:cs="Arial"/>
          <w:color w:val="000000"/>
          <w:szCs w:val="24"/>
          <w:lang w:eastAsia="es-CO"/>
        </w:rPr>
      </w:pPr>
      <w:r w:rsidRPr="00AB1C80">
        <w:rPr>
          <w:rFonts w:eastAsia="Times New Roman" w:cs="Arial"/>
          <w:color w:val="000000"/>
          <w:szCs w:val="24"/>
          <w:lang w:eastAsia="es-CO"/>
        </w:rPr>
        <w:t>• Formalizar la minería artesanal y de pequeña escala: Aproximadamente el 80% de la minería artesanal y de pequeña escala son trabajadores informales, por lo tanto, la formalización es necesaria para asegurar la transición de la minería artesanal y de pequeña escala hacia la circularidad. La formalización de la minería artesanal y de pequeña escala aumentará los aspectos económicos, sociales y ambientales positivos.</w:t>
      </w:r>
    </w:p>
    <w:p w14:paraId="3B08F547" w14:textId="77777777" w:rsidR="00F65034" w:rsidRPr="00AB1C80" w:rsidRDefault="00F65034" w:rsidP="00F65034">
      <w:pPr>
        <w:spacing w:line="276" w:lineRule="auto"/>
        <w:rPr>
          <w:rFonts w:cs="Arial"/>
          <w:b/>
          <w:i/>
          <w:szCs w:val="24"/>
        </w:rPr>
      </w:pPr>
    </w:p>
    <w:p w14:paraId="61B67078" w14:textId="77777777" w:rsidR="00F65034" w:rsidRPr="00AB1C80" w:rsidRDefault="00F65034" w:rsidP="00F65034">
      <w:pPr>
        <w:spacing w:line="276" w:lineRule="auto"/>
        <w:rPr>
          <w:rFonts w:eastAsia="Calibri" w:cs="Arial"/>
          <w:szCs w:val="24"/>
          <w:highlight w:val="yellow"/>
        </w:rPr>
      </w:pPr>
      <w:r w:rsidRPr="00AB1C80">
        <w:rPr>
          <w:rFonts w:eastAsia="Calibri" w:cs="Arial"/>
          <w:szCs w:val="24"/>
        </w:rPr>
        <w:t xml:space="preserve">V A Knysh (2020) en IOP Conference Series: Earth and Environmental Science, expone que </w:t>
      </w:r>
      <w:r w:rsidRPr="00AB1C80">
        <w:rPr>
          <w:rFonts w:eastAsia="Times New Roman" w:cs="Arial"/>
          <w:color w:val="202124"/>
          <w:szCs w:val="24"/>
          <w:lang w:eastAsia="es-CO"/>
        </w:rPr>
        <w:t>el concepto de economía circular (EC) penetra gradualmente en varios ámbitos de producción y consumo como parte de la ideología del "Curso Verde", asegurando desarrollo a largo plazo. No se puede llamar al sector minero interesado en transformar la economía lineal hacia una economía circular más eficiente en el uso de los recursos utilizando los sistemas de regeneración. La idea de la recuperación cíclica de valores de residuos y productos usados ​​en cadenas de suministro cerrado tiene como objetivo minimizar el uso de recursos primarios escasos. Los actores del sector minero perciben esta idea como una amenaza más que como una oportunidad para mejorar su posición en el mercado y existen barreras y cuellos de botella que impiden la implementación de los principios de la EC en la industria minera. Hay muy pocos estudios relacionados con el desarrollo o adaptación de modelos circulares de negocio para empresas mineras.</w:t>
      </w:r>
    </w:p>
    <w:p w14:paraId="2F0596F8" w14:textId="77777777" w:rsidR="00F65034" w:rsidRPr="00AB1C80" w:rsidRDefault="00F65034" w:rsidP="00F65034">
      <w:pPr>
        <w:spacing w:line="276" w:lineRule="auto"/>
        <w:rPr>
          <w:rFonts w:cs="Arial"/>
          <w:szCs w:val="24"/>
          <w:lang w:eastAsia="es-CO"/>
        </w:rPr>
      </w:pPr>
    </w:p>
    <w:p w14:paraId="047D66BD" w14:textId="77777777" w:rsidR="00F65034" w:rsidRPr="00AB1C80" w:rsidRDefault="00F65034" w:rsidP="00F65034">
      <w:pPr>
        <w:spacing w:line="276" w:lineRule="auto"/>
        <w:rPr>
          <w:rFonts w:cs="Arial"/>
          <w:szCs w:val="24"/>
          <w:lang w:eastAsia="es-CO"/>
        </w:rPr>
      </w:pPr>
      <w:r w:rsidRPr="00AB1C80">
        <w:rPr>
          <w:rFonts w:cs="Arial"/>
          <w:szCs w:val="24"/>
          <w:lang w:eastAsia="es-CO"/>
        </w:rPr>
        <w:t>Algunos creen que es necesario “repensar” la gestión de los residuos mineros, en forma de residuos y relaves, en la perspectiva del "pensamiento circular" integrador, que permitirá a las empresas mineras reducir los riesgos de seguridad, aumentar la sostenibilidad del desarrollo y el valor económico de los residuos mineros. Cinco áreas clave son identificadas que están cubiertas por un enfoque integrador en el marco del concepto de EC: las esferas sociales, aspectos geoecológicos y geometalúrgicos, el factor económico y consecuencias jurídicas.</w:t>
      </w:r>
    </w:p>
    <w:p w14:paraId="59DB0E71" w14:textId="77777777" w:rsidR="00F65034" w:rsidRPr="00AB1C80" w:rsidRDefault="00F65034" w:rsidP="00F65034">
      <w:pPr>
        <w:spacing w:line="276" w:lineRule="auto"/>
        <w:rPr>
          <w:rFonts w:eastAsia="Times New Roman" w:cs="Arial"/>
          <w:color w:val="202124"/>
          <w:szCs w:val="24"/>
          <w:lang w:eastAsia="es-CO"/>
        </w:rPr>
      </w:pPr>
    </w:p>
    <w:p w14:paraId="43C5DE37" w14:textId="77777777" w:rsidR="00F65034" w:rsidRPr="00AB1C80" w:rsidRDefault="00F65034" w:rsidP="00F65034">
      <w:pPr>
        <w:spacing w:line="276" w:lineRule="auto"/>
        <w:rPr>
          <w:rFonts w:eastAsia="Calibri" w:cs="Arial"/>
          <w:szCs w:val="24"/>
        </w:rPr>
      </w:pPr>
      <w:r w:rsidRPr="00AB1C80">
        <w:rPr>
          <w:rFonts w:eastAsia="Times New Roman" w:cs="Arial"/>
          <w:color w:val="202124"/>
          <w:szCs w:val="24"/>
          <w:lang w:eastAsia="es-CO"/>
        </w:rPr>
        <w:t>Otros señalan que los mineros y los metalúrgicos necesitan adaptarse rápidamente y adoptar cambios para proteger su participación de mercado, mientras toman ventaja del potencial de una nueva fuente de valor como el mercado secundario. La transición de empresas mineras y metalúrgicas de un lineal tradicional a un cíclico económico más sostenible.</w:t>
      </w:r>
    </w:p>
    <w:p w14:paraId="18EAC3AB" w14:textId="77777777" w:rsidR="00F65034" w:rsidRPr="00AB1C80" w:rsidRDefault="00F65034" w:rsidP="00F65034">
      <w:pPr>
        <w:spacing w:line="276" w:lineRule="auto"/>
        <w:rPr>
          <w:rFonts w:eastAsia="Times New Roman" w:cs="Arial"/>
          <w:color w:val="202124"/>
          <w:szCs w:val="24"/>
          <w:lang w:eastAsia="es-CO"/>
        </w:rPr>
      </w:pPr>
    </w:p>
    <w:p w14:paraId="016128E1" w14:textId="77777777" w:rsidR="00F65034" w:rsidRPr="00AB1C80" w:rsidRDefault="00F65034" w:rsidP="00F65034">
      <w:pPr>
        <w:spacing w:line="276" w:lineRule="auto"/>
        <w:rPr>
          <w:rFonts w:eastAsia="Times New Roman" w:cs="Arial"/>
          <w:color w:val="202124"/>
          <w:szCs w:val="24"/>
          <w:lang w:eastAsia="es-CO"/>
        </w:rPr>
      </w:pPr>
      <w:r w:rsidRPr="00AB1C80">
        <w:rPr>
          <w:rFonts w:eastAsia="Times New Roman" w:cs="Arial"/>
          <w:color w:val="202124"/>
          <w:szCs w:val="24"/>
          <w:lang w:eastAsia="es-CO"/>
        </w:rPr>
        <w:t>El modelo CE, denominado ERA-MIN 2 incluyó esquemáticamente la minería en el circuito de EC, incluido el reciclaje de residuos de producción acumulados. Sin embargo, esto no es suficiente para ampliar el concepto de EC a la industria minera. Uno de los enfoques para adaptar los elementos básicos de la EC en el sector de la minería puede ser su consideración junto con elementos del concepto MTD. Aunque el concepto de la EC es más amplio que el concepto de MTD, ambos tienen al menos un objetivo común: reducir los efectos nocivos de la producción sobre el medio ambiente. Un análisis del manual de referencia BAT "Extracción y beneficio de minerales de metales no ferrosos" mostró que de las 46 MTD, la mayoría corresponde a componentes circulares R. Una parte significativa de las MTD corresponde al concepto de “3R” (Reciclar, Reutilizar, Reducir), pero no se limita solo a la gestión de los residuos de producción.</w:t>
      </w:r>
    </w:p>
    <w:p w14:paraId="0769E43B" w14:textId="77777777" w:rsidR="00F65034" w:rsidRPr="00AB1C80" w:rsidRDefault="00F65034" w:rsidP="00F65034">
      <w:pPr>
        <w:spacing w:line="276" w:lineRule="auto"/>
        <w:rPr>
          <w:rFonts w:eastAsia="Times New Roman" w:cs="Arial"/>
          <w:color w:val="202124"/>
          <w:szCs w:val="24"/>
          <w:lang w:eastAsia="es-CO"/>
        </w:rPr>
      </w:pPr>
    </w:p>
    <w:p w14:paraId="04657086" w14:textId="77777777" w:rsidR="00F65034" w:rsidRPr="00AB1C80" w:rsidRDefault="00F65034" w:rsidP="00F65034">
      <w:pPr>
        <w:spacing w:line="276" w:lineRule="auto"/>
        <w:rPr>
          <w:rFonts w:eastAsia="Calibri" w:cs="Arial"/>
          <w:szCs w:val="24"/>
        </w:rPr>
      </w:pPr>
      <w:r w:rsidRPr="00AB1C80">
        <w:rPr>
          <w:rFonts w:eastAsia="Times New Roman" w:cs="Arial"/>
          <w:color w:val="202124"/>
          <w:szCs w:val="24"/>
          <w:lang w:eastAsia="es-CO"/>
        </w:rPr>
        <w:t>El desarrollo del concepto de economía circular en los países de la UE tiene la naturaleza de una tendencia debido al deseo de reducir el nivel de consumo de recursos primarios a lo largo de todo el valor de la cadena añadida. Para el sector minero, expandir el uso de los principios de la EC en la producción es un desafío y al mismo tiempo una nueva oportunidad que requiere ajustar los enfoques para hacer negocios con clientes tradicionales. Si bien la minería forma parte formalmente del marco de la EC, la búsqueda de enfoques y modelos de negocio para las empresas mineras se encuentra en su etapa inicial. En Rusia, las posibilidades de EC se discuten aún a nivel aún de publicaciones científicas.</w:t>
      </w:r>
    </w:p>
    <w:p w14:paraId="429A6F6D"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39B18745"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 Comisión Europea (2019) desarrolla orientaciones y promueve las mejores prácticas en materia de Planes de Gestión de Residuos Extractivos (EWMP por sus siglas en inglés). La guía que han elaborado es parte de un estudio perteneciente en particular a (a) la integración de Aspectos de Economía Circular en Planes de Gestión de Residuos Extractivos y (b) la Identificación de Mejores Prácticas en Planes de Gestión de Residuos Extractivos (EWMP) para aspectos relacionados con la Economía Circular. La optimización de la extracción y el procesamiento de minerales pueden ser logrados mediante el fortalecimiento del papel de los dos primeros pasos del ciclo de vida minero (exploración y diseño). La presente guía describe prácticas en el campo del reciclaje y valorización de residuos extractivos (uso potencial) que pueden ser aplicados a las primeras cinco fases básicas en un ciclo de vida minero (exploración, diseño, construcción, extracción y procesamiento), y que tienen consecuencias directas en la generación y gestión de Residuos extractivos.</w:t>
      </w:r>
    </w:p>
    <w:p w14:paraId="6A9F3BFA"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9CCE4D2"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lastRenderedPageBreak/>
        <w:t>Los EWMP se han evaluado teniendo en cuenta los siguientes aspectos:</w:t>
      </w:r>
    </w:p>
    <w:p w14:paraId="447347EC"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59AF77D"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Procesos para prevenir o reducir la generación de residuos extractivos y su nocividad</w:t>
      </w:r>
    </w:p>
    <w:p w14:paraId="75152636"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Gestión de residuos extractivos en la fase de diseño y en la elección del método utilizado para extracción y tratamiento de minerales</w:t>
      </w:r>
    </w:p>
    <w:p w14:paraId="4767E17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Los cambios que pueden sufrir los residuos extractivos en relación con un aumento de superficie área y exposición a condiciones sobre el suelo</w:t>
      </w:r>
    </w:p>
    <w:p w14:paraId="7741C28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Volver a colocar los desechos de extracción en el vacío de la excavación</w:t>
      </w:r>
    </w:p>
    <w:p w14:paraId="30D0EAF8"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Volver a colocar la capa superior del suelo después del cierre de la instalación de desechos o reutilizar la capa superior del suelo en otra parte</w:t>
      </w:r>
    </w:p>
    <w:p w14:paraId="59D306D5"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Utilizar sustancias menos peligrosas para el tratamiento de minerales extraídos</w:t>
      </w:r>
    </w:p>
    <w:p w14:paraId="0FB9F1F3"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Recuperación de residuos de la extracción mediante el reciclaje, la reutilización o la recuperación de dichos residuos</w:t>
      </w:r>
    </w:p>
    <w:p w14:paraId="6B839F36"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426"/>
        <w:rPr>
          <w:rFonts w:eastAsia="Times New Roman" w:cs="Arial"/>
          <w:color w:val="202124"/>
          <w:szCs w:val="24"/>
          <w:lang w:eastAsia="es-CO"/>
        </w:rPr>
      </w:pPr>
      <w:r w:rsidRPr="00AB1C80">
        <w:rPr>
          <w:rFonts w:eastAsia="Times New Roman" w:cs="Arial"/>
          <w:color w:val="202124"/>
          <w:szCs w:val="24"/>
          <w:lang w:eastAsia="es-CO"/>
        </w:rPr>
        <w:sym w:font="Symbol" w:char="F0B7"/>
      </w:r>
      <w:r w:rsidRPr="00AB1C80">
        <w:rPr>
          <w:rFonts w:eastAsia="Times New Roman" w:cs="Arial"/>
          <w:color w:val="202124"/>
          <w:szCs w:val="24"/>
          <w:lang w:eastAsia="es-CO"/>
        </w:rPr>
        <w:t xml:space="preserve"> Enfoques para monitorear la implementación de EWMP y su revisión</w:t>
      </w:r>
    </w:p>
    <w:p w14:paraId="337FD3B4"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9E9683F"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Dice la Comisión, que, para establecer el alcance necesario de la Evaluación de Riesgos, es necesario identificar dónde, cuándo y por qué surgen estos riesgos. </w:t>
      </w:r>
    </w:p>
    <w:p w14:paraId="1A511A25"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3464CE71"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Esto puede requerir un alcance más amplio de lo que normalmente estaría cubierto por el EWMP. </w:t>
      </w:r>
    </w:p>
    <w:p w14:paraId="1A508617"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E34ED4F"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 siguiente lista no exhaustiva muestra ejemplos de aspectos que deberían ser considerados para establecer el contenido de la Evaluación de Riesgos a lo largo de las fases del ciclo de vida de una operación extractiva.</w:t>
      </w:r>
    </w:p>
    <w:p w14:paraId="6F80B814"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3822C2F0"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1. Fase de exploración: nivel de conocimiento</w:t>
      </w:r>
    </w:p>
    <w:p w14:paraId="289D4BC7"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2. Selección de los métodos de minería más apropiados.</w:t>
      </w:r>
    </w:p>
    <w:p w14:paraId="3570DBEC"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3. Diseño y programación del sitio: buena planificación y programación minera </w:t>
      </w:r>
    </w:p>
    <w:p w14:paraId="45B1C347"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4. Elección del equipo de minería</w:t>
      </w:r>
    </w:p>
    <w:p w14:paraId="4F9D4CC4"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5. Planificación y optimización de procesos. </w:t>
      </w:r>
    </w:p>
    <w:p w14:paraId="6096CA1A"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6. Revisión periódica de los flujos de materiales.</w:t>
      </w:r>
    </w:p>
    <w:p w14:paraId="13D42B8D"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7. Planificación de la seguridad a largo plazo: criterios de seguridad operacional y minimización de impactos, hasta su cierre. </w:t>
      </w:r>
    </w:p>
    <w:p w14:paraId="4D978D7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A1B3F36"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color w:val="202124"/>
          <w:szCs w:val="24"/>
          <w:lang w:eastAsia="es-CO"/>
        </w:rPr>
      </w:pPr>
      <w:r w:rsidRPr="00AB1C80">
        <w:rPr>
          <w:rFonts w:eastAsia="Times New Roman" w:cs="Arial"/>
          <w:color w:val="202124"/>
          <w:szCs w:val="24"/>
          <w:lang w:eastAsia="es-CO"/>
        </w:rPr>
        <w:t>Cuando se considera el papel del ciclo de vida de la mina en la redacción de EWMP, se debe tener en cuenta que</w:t>
      </w:r>
      <w:r w:rsidRPr="00AB1C80">
        <w:rPr>
          <w:rFonts w:eastAsia="Times New Roman" w:cs="Arial"/>
          <w:b/>
          <w:color w:val="202124"/>
          <w:szCs w:val="24"/>
          <w:lang w:eastAsia="es-CO"/>
        </w:rPr>
        <w:t xml:space="preserve"> </w:t>
      </w:r>
      <w:r w:rsidRPr="00AB1C80">
        <w:rPr>
          <w:rFonts w:eastAsia="Times New Roman" w:cs="Arial"/>
          <w:color w:val="202124"/>
          <w:szCs w:val="24"/>
          <w:lang w:eastAsia="es-CO"/>
        </w:rPr>
        <w:t xml:space="preserve">cada mina es única y, por tanto, el tipo, los montos y </w:t>
      </w:r>
      <w:r w:rsidRPr="00AB1C80">
        <w:rPr>
          <w:rFonts w:eastAsia="Times New Roman" w:cs="Arial"/>
          <w:color w:val="202124"/>
          <w:szCs w:val="24"/>
          <w:lang w:eastAsia="es-CO"/>
        </w:rPr>
        <w:lastRenderedPageBreak/>
        <w:t>las características de los residuos de extracción difieren, según el depósito, la geología y la tecnología de proceso aplicado en el sitio. Los residuos extractivos se originan principalmente en dos etapas de producción: minería (extracción) y procesamiento de minerales.</w:t>
      </w:r>
      <w:r w:rsidRPr="00AB1C80">
        <w:rPr>
          <w:rFonts w:eastAsia="Times New Roman" w:cs="Arial"/>
          <w:b/>
          <w:color w:val="202124"/>
          <w:szCs w:val="24"/>
          <w:lang w:eastAsia="es-CO"/>
        </w:rPr>
        <w:t xml:space="preserve"> </w:t>
      </w:r>
      <w:r w:rsidRPr="00AB1C80">
        <w:rPr>
          <w:rFonts w:eastAsia="Times New Roman" w:cs="Arial"/>
          <w:color w:val="202124"/>
          <w:szCs w:val="24"/>
          <w:lang w:eastAsia="es-CO"/>
        </w:rPr>
        <w:t>Si bien la generación de residuos extractivos comienza principalmente en la etapa de construcción, la gestión de residuos debe tenerse en cuenta a lo largo de todas las etapas de la explotación minera del ciclo de vida del proyecto, incluida la fase de exploración y diseño.</w:t>
      </w:r>
    </w:p>
    <w:p w14:paraId="1254D5CF"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B9B1BD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Un EWMP bien desarrollado debe basarse en el mejor conocimiento técnico disponible y la experiencia sustancial establecida en todo el sector minero con el fin de lograr (a) optimización de la extracción, (b) reducción de los impactos ambientales hasta que se considere aceptable y (c) fortalecimiento del reciclaje.</w:t>
      </w:r>
    </w:p>
    <w:p w14:paraId="68882FC4" w14:textId="77777777" w:rsidR="00F65034" w:rsidRPr="00AB1C80" w:rsidRDefault="00F65034" w:rsidP="00F65034">
      <w:pPr>
        <w:spacing w:line="276" w:lineRule="auto"/>
        <w:rPr>
          <w:rFonts w:eastAsia="Times New Roman" w:cs="Arial"/>
          <w:color w:val="231F20"/>
          <w:szCs w:val="24"/>
        </w:rPr>
      </w:pPr>
    </w:p>
    <w:p w14:paraId="4B9D6D89" w14:textId="77777777" w:rsidR="00F65034" w:rsidRPr="00AB1C80" w:rsidRDefault="00F65034" w:rsidP="00F65034">
      <w:pPr>
        <w:spacing w:line="276" w:lineRule="auto"/>
        <w:rPr>
          <w:rFonts w:eastAsia="Calibri" w:cs="Arial"/>
          <w:b/>
          <w:szCs w:val="24"/>
        </w:rPr>
      </w:pPr>
      <w:r w:rsidRPr="00AB1C80">
        <w:rPr>
          <w:rFonts w:eastAsia="Times New Roman" w:cs="Arial"/>
          <w:color w:val="231F20"/>
          <w:szCs w:val="24"/>
        </w:rPr>
        <w:t xml:space="preserve">En el caso de América del Norte, específicamente en Canadá, Minerals and Metals (2020) expone que el consumo reducido de recursos es uno de los enfoques de la economía circular en la industria minera. </w:t>
      </w:r>
      <w:r w:rsidRPr="00AB1C80">
        <w:rPr>
          <w:rFonts w:eastAsia="Times New Roman" w:cs="Arial"/>
          <w:color w:val="000000"/>
          <w:szCs w:val="24"/>
        </w:rPr>
        <w:t xml:space="preserve">Estas inversiones están siendo hechas para la implementación de soluciones circulares para ayudar a abordar los mayores desafíos del sector, como aumentar la eficiencia, proporcionar insumos más limpios, reducir residuos en la minería, la recuperación y reciclaje de minerales posconsumo y rieles. </w:t>
      </w:r>
      <w:r w:rsidRPr="00AB1C80">
        <w:rPr>
          <w:rFonts w:eastAsia="Times New Roman" w:cs="Arial"/>
          <w:color w:val="231F20"/>
          <w:szCs w:val="24"/>
        </w:rPr>
        <w:t xml:space="preserve">Para esto, las empresas emplean estrategias de ecodiseño, como el desarrollo de equipos de extracción eléctricos, eco-insumos, químicos amigables y otras innovaciones tecnológicas. Otra estrategia utilizada para reducir el consumo de recursos es optimización de procesos como de producción, prolongar la vida útil de los productos y componentes. </w:t>
      </w:r>
      <w:r w:rsidRPr="00AB1C80">
        <w:rPr>
          <w:rFonts w:eastAsia="Times New Roman" w:cs="Arial"/>
          <w:color w:val="000000"/>
          <w:szCs w:val="24"/>
        </w:rPr>
        <w:t>Otras prácticas en este sector buscan optimizar el uso de recursos a través de estrategias para dar nueva vida a los recursos.</w:t>
      </w:r>
    </w:p>
    <w:p w14:paraId="717FF9DB" w14:textId="77777777" w:rsidR="00F65034" w:rsidRPr="00AB1C80" w:rsidRDefault="00F65034" w:rsidP="00F65034">
      <w:pPr>
        <w:spacing w:line="276" w:lineRule="auto"/>
        <w:rPr>
          <w:rFonts w:eastAsia="Calibri" w:cs="Arial"/>
          <w:szCs w:val="24"/>
        </w:rPr>
      </w:pPr>
    </w:p>
    <w:p w14:paraId="55A145A3" w14:textId="77777777" w:rsidR="00F65034" w:rsidRPr="00AB1C80" w:rsidRDefault="00F65034" w:rsidP="00F65034">
      <w:pPr>
        <w:spacing w:line="276" w:lineRule="auto"/>
        <w:rPr>
          <w:rFonts w:eastAsia="Calibri" w:cs="Arial"/>
          <w:szCs w:val="24"/>
        </w:rPr>
      </w:pPr>
      <w:r w:rsidRPr="00AB1C80">
        <w:rPr>
          <w:rFonts w:eastAsia="Calibri" w:cs="Arial"/>
          <w:szCs w:val="24"/>
        </w:rPr>
        <w:t>Ahora, es importante repasar la visión de América Latina sobre EC en la actividad minera, lo cual se trata a continuación.</w:t>
      </w:r>
    </w:p>
    <w:p w14:paraId="26F95A74" w14:textId="77777777" w:rsidR="00F65034" w:rsidRPr="00AB1C80" w:rsidRDefault="00F65034" w:rsidP="00F65034">
      <w:pPr>
        <w:spacing w:line="276" w:lineRule="auto"/>
        <w:rPr>
          <w:rFonts w:cs="Arial"/>
          <w:szCs w:val="24"/>
          <w:lang w:eastAsia="es-CO"/>
        </w:rPr>
      </w:pPr>
    </w:p>
    <w:p w14:paraId="470FDE9F" w14:textId="77777777" w:rsidR="00F65034" w:rsidRPr="00AB1C80" w:rsidRDefault="00F65034" w:rsidP="00F65034">
      <w:pPr>
        <w:spacing w:line="276" w:lineRule="auto"/>
        <w:rPr>
          <w:rFonts w:cs="Arial"/>
          <w:szCs w:val="24"/>
          <w:lang w:eastAsia="es-CO"/>
        </w:rPr>
      </w:pPr>
      <w:r w:rsidRPr="00AB1C80">
        <w:rPr>
          <w:rFonts w:cs="Arial"/>
          <w:szCs w:val="24"/>
          <w:lang w:eastAsia="es-CO"/>
        </w:rPr>
        <w:t>Ribeiro-Duthie (2017) expone que la Economía Circular (EC) contempla el uso de recursos y productos en circuitos cerrados para mantenerlos en uso el mayor tiempo posible. Es una propuesta conceptual y práctica que tiene como objetivo reducir el impacto medioambiental y al mismo tiempo aportar beneficios económicos, contribuyendo a la innovación, el desarrollo y la creación de trabajo. El modelo tradicional no considera la finitud de los recursos naturales. El modelo circular los integra y propone rescatarlos en un sistema productivo regenerativo donde el valor de los productos, los materiales y recursos vuelven al ciclo productivo, aunque en otras cadenas.</w:t>
      </w:r>
    </w:p>
    <w:p w14:paraId="46DC425E" w14:textId="77777777" w:rsidR="00F65034" w:rsidRPr="00AB1C80" w:rsidRDefault="00F65034" w:rsidP="00F65034">
      <w:pPr>
        <w:spacing w:line="276" w:lineRule="auto"/>
        <w:rPr>
          <w:rFonts w:cs="Arial"/>
          <w:szCs w:val="24"/>
          <w:lang w:eastAsia="es-CO"/>
        </w:rPr>
      </w:pPr>
    </w:p>
    <w:p w14:paraId="0AEAEA5E" w14:textId="77777777" w:rsidR="00F65034" w:rsidRPr="00AB1C80" w:rsidRDefault="00F65034" w:rsidP="00F65034">
      <w:pPr>
        <w:spacing w:line="276" w:lineRule="auto"/>
        <w:rPr>
          <w:rFonts w:cs="Arial"/>
          <w:szCs w:val="24"/>
          <w:lang w:eastAsia="es-CO"/>
        </w:rPr>
      </w:pPr>
      <w:r w:rsidRPr="00AB1C80">
        <w:rPr>
          <w:rFonts w:cs="Arial"/>
          <w:szCs w:val="24"/>
          <w:lang w:eastAsia="es-CO"/>
        </w:rPr>
        <w:lastRenderedPageBreak/>
        <w:t>Dice la autora que la situación de Brasil en el mercado de minerales podría ofrecer vías para desarrollo de la EC en el país y al mismo tiempo, entender cómo otros países dependen de minerales con potencial de circularidad, lo que podría dar pistas sobre inversiones y esfuerzos directos. Enuncia algunas tecnologías desarrolladas, así:</w:t>
      </w:r>
    </w:p>
    <w:p w14:paraId="712DBFEF" w14:textId="77777777" w:rsidR="00F65034" w:rsidRPr="00AB1C80" w:rsidRDefault="00F65034" w:rsidP="00F65034">
      <w:pPr>
        <w:spacing w:line="276" w:lineRule="auto"/>
        <w:rPr>
          <w:rFonts w:cs="Arial"/>
          <w:szCs w:val="24"/>
          <w:lang w:eastAsia="es-CO"/>
        </w:rPr>
      </w:pPr>
    </w:p>
    <w:p w14:paraId="03291EFA" w14:textId="77777777" w:rsidR="00F65034" w:rsidRPr="00AB1C80" w:rsidRDefault="00F65034" w:rsidP="00F65034">
      <w:pPr>
        <w:spacing w:line="276" w:lineRule="auto"/>
        <w:rPr>
          <w:rFonts w:cs="Arial"/>
          <w:szCs w:val="24"/>
          <w:lang w:eastAsia="es-CO"/>
        </w:rPr>
      </w:pPr>
      <w:r w:rsidRPr="00AB1C80">
        <w:rPr>
          <w:rFonts w:cs="Arial"/>
          <w:szCs w:val="24"/>
          <w:lang w:eastAsia="es-CO"/>
        </w:rPr>
        <w:t>Tecnologías ya desarrolladas en e</w:t>
      </w:r>
      <w:r w:rsidRPr="00AB1C80">
        <w:rPr>
          <w:rFonts w:eastAsia="Calibri" w:cs="Arial"/>
          <w:color w:val="4D5156"/>
          <w:szCs w:val="24"/>
          <w:shd w:val="clear" w:color="auto" w:fill="FFFFFF"/>
        </w:rPr>
        <w:t xml:space="preserve">l </w:t>
      </w:r>
      <w:r w:rsidRPr="00AB1C80">
        <w:rPr>
          <w:rFonts w:cs="Arial"/>
          <w:szCs w:val="24"/>
          <w:lang w:eastAsia="es-CO"/>
        </w:rPr>
        <w:t xml:space="preserve">CETEM (Centro de Tecnología Mineral) aplicable a un contexto EC </w:t>
      </w:r>
    </w:p>
    <w:p w14:paraId="5B9606B4" w14:textId="77777777" w:rsidR="00F65034" w:rsidRPr="00AB1C80" w:rsidRDefault="00F65034" w:rsidP="00F65034">
      <w:pPr>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 xml:space="preserve">Producción de arena y </w:t>
      </w:r>
      <w:proofErr w:type="spellStart"/>
      <w:r w:rsidRPr="00AB1C80">
        <w:rPr>
          <w:rFonts w:eastAsia="Times New Roman" w:cs="Arial"/>
          <w:color w:val="202124"/>
          <w:szCs w:val="24"/>
          <w:lang w:eastAsia="es-CO"/>
        </w:rPr>
        <w:t>Brita</w:t>
      </w:r>
      <w:proofErr w:type="spellEnd"/>
      <w:r w:rsidRPr="00AB1C80">
        <w:rPr>
          <w:rFonts w:eastAsia="Times New Roman" w:cs="Arial"/>
          <w:color w:val="202124"/>
          <w:szCs w:val="24"/>
          <w:lang w:eastAsia="es-CO"/>
        </w:rPr>
        <w:t xml:space="preserve"> (filtros de agua) de escombros de Construcción civil</w:t>
      </w:r>
    </w:p>
    <w:p w14:paraId="258C15D7" w14:textId="77777777" w:rsidR="00F65034" w:rsidRPr="00AB1C80" w:rsidRDefault="00F65034" w:rsidP="00F65034">
      <w:pPr>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proofErr w:type="spellStart"/>
      <w:r w:rsidRPr="00AB1C80">
        <w:rPr>
          <w:rFonts w:eastAsia="Times New Roman" w:cs="Arial"/>
          <w:color w:val="202124"/>
          <w:szCs w:val="24"/>
          <w:lang w:eastAsia="es-CO"/>
        </w:rPr>
        <w:t>Bioextracción</w:t>
      </w:r>
      <w:proofErr w:type="spellEnd"/>
      <w:r w:rsidRPr="00AB1C80">
        <w:rPr>
          <w:rFonts w:eastAsia="Times New Roman" w:cs="Arial"/>
          <w:color w:val="202124"/>
          <w:szCs w:val="24"/>
          <w:lang w:eastAsia="es-CO"/>
        </w:rPr>
        <w:t xml:space="preserve"> de Metales Ni y Cu de trozos de Equipos electrónicos</w:t>
      </w:r>
    </w:p>
    <w:p w14:paraId="0A2E998C" w14:textId="77777777" w:rsidR="00F65034" w:rsidRPr="00AB1C80" w:rsidRDefault="00F65034" w:rsidP="00F65034">
      <w:pPr>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Tecnologías de Deshidratación y Reutilización de agua en procesamiento mineral y beneficio de mineral de níquel y bauxita</w:t>
      </w:r>
    </w:p>
    <w:p w14:paraId="38C54B6E" w14:textId="77777777" w:rsidR="00F65034" w:rsidRPr="00AB1C80" w:rsidRDefault="00F65034" w:rsidP="00F65034">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Uso de Residuos de Rocas ornamentales como fertilizante para la agricultura de piñones y ricino, que son Materias primas de biodiesel</w:t>
      </w:r>
    </w:p>
    <w:p w14:paraId="03EB7DF3" w14:textId="77777777" w:rsidR="00F65034" w:rsidRPr="00AB1C80" w:rsidRDefault="00F65034" w:rsidP="00F65034">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proofErr w:type="spellStart"/>
      <w:r w:rsidRPr="00AB1C80">
        <w:rPr>
          <w:rFonts w:eastAsia="Times New Roman" w:cs="Arial"/>
          <w:color w:val="202124"/>
          <w:szCs w:val="24"/>
          <w:lang w:eastAsia="es-CO"/>
        </w:rPr>
        <w:t>Biohidrometalurgia</w:t>
      </w:r>
      <w:proofErr w:type="spellEnd"/>
      <w:r w:rsidRPr="00AB1C80">
        <w:rPr>
          <w:rFonts w:eastAsia="Times New Roman" w:cs="Arial"/>
          <w:color w:val="202124"/>
          <w:szCs w:val="24"/>
          <w:lang w:eastAsia="es-CO"/>
        </w:rPr>
        <w:t xml:space="preserve"> para extracción de metales en fase acuosa y tratamiento de efluentes</w:t>
      </w:r>
    </w:p>
    <w:p w14:paraId="7C4B9596" w14:textId="77777777" w:rsidR="00F65034" w:rsidRPr="00AB1C80" w:rsidRDefault="00F65034" w:rsidP="00F65034">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 xml:space="preserve">Proyectos piloto a escala </w:t>
      </w:r>
      <w:proofErr w:type="spellStart"/>
      <w:r w:rsidRPr="00AB1C80">
        <w:rPr>
          <w:rFonts w:eastAsia="Times New Roman" w:cs="Arial"/>
          <w:color w:val="202124"/>
          <w:szCs w:val="24"/>
          <w:lang w:eastAsia="es-CO"/>
        </w:rPr>
        <w:t>semi-industrial</w:t>
      </w:r>
      <w:proofErr w:type="spellEnd"/>
    </w:p>
    <w:p w14:paraId="7AB6922D" w14:textId="77777777" w:rsidR="00F65034" w:rsidRPr="00AB1C80" w:rsidRDefault="00F65034" w:rsidP="00F65034">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Aplicación de residuos de mármol a polipropileno para crear más plástico resistente, proyecto utilizado para la creación de prótesis craneales para niños discapacitados.</w:t>
      </w:r>
    </w:p>
    <w:p w14:paraId="4912BDC3"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6F06AD97"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Se han identificado varias consideraciones, entre otras:</w:t>
      </w:r>
    </w:p>
    <w:p w14:paraId="6E3E6C32" w14:textId="77777777" w:rsidR="00F65034" w:rsidRPr="00AB1C80" w:rsidRDefault="00F65034" w:rsidP="00F65034">
      <w:pPr>
        <w:pStyle w:val="Prrafodelist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Existen prácticas mineras que permitirían dialogar con la EC en las distintas etapas de su proceso de producción:</w:t>
      </w:r>
    </w:p>
    <w:p w14:paraId="6BC99B32" w14:textId="77777777" w:rsidR="00F65034" w:rsidRPr="00AB1C80" w:rsidRDefault="00F65034" w:rsidP="00F65034">
      <w:pPr>
        <w:pStyle w:val="Prrafodelista"/>
        <w:numPr>
          <w:ilvl w:val="0"/>
          <w:numId w:val="4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41"/>
        <w:rPr>
          <w:rFonts w:eastAsia="Times New Roman" w:cs="Arial"/>
          <w:color w:val="202124"/>
          <w:szCs w:val="24"/>
          <w:lang w:eastAsia="es-CO"/>
        </w:rPr>
      </w:pPr>
      <w:r w:rsidRPr="00AB1C80">
        <w:rPr>
          <w:rFonts w:eastAsia="Times New Roman" w:cs="Arial"/>
          <w:color w:val="202124"/>
          <w:szCs w:val="24"/>
          <w:lang w:eastAsia="es-CO"/>
        </w:rPr>
        <w:t>Exploración o prospección de minerales: de manera proactiva en la cuantificación de otros minerales / metales de interés económico más allá del objetivo inicialmente motivador.</w:t>
      </w:r>
    </w:p>
    <w:p w14:paraId="3053AFB2" w14:textId="77777777" w:rsidR="00F65034" w:rsidRPr="00AB1C80" w:rsidRDefault="00F65034" w:rsidP="00F65034">
      <w:pPr>
        <w:pStyle w:val="Prrafodelista"/>
        <w:numPr>
          <w:ilvl w:val="0"/>
          <w:numId w:val="4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41"/>
        <w:rPr>
          <w:rFonts w:eastAsia="Times New Roman" w:cs="Arial"/>
          <w:color w:val="202124"/>
          <w:szCs w:val="24"/>
          <w:lang w:eastAsia="es-CO"/>
        </w:rPr>
      </w:pPr>
      <w:r w:rsidRPr="00AB1C80">
        <w:rPr>
          <w:rFonts w:eastAsia="Times New Roman" w:cs="Arial"/>
          <w:color w:val="202124"/>
          <w:szCs w:val="24"/>
          <w:lang w:eastAsia="es-CO"/>
        </w:rPr>
        <w:t>Minería de minerales: uso económico de los residuos mineros como insumo para otras actividades productivas.</w:t>
      </w:r>
    </w:p>
    <w:p w14:paraId="1588141C" w14:textId="77777777" w:rsidR="00F65034" w:rsidRPr="00AB1C80" w:rsidRDefault="00F65034" w:rsidP="00F65034">
      <w:pPr>
        <w:pStyle w:val="Prrafodelista"/>
        <w:numPr>
          <w:ilvl w:val="0"/>
          <w:numId w:val="4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41"/>
        <w:rPr>
          <w:rFonts w:eastAsia="Times New Roman" w:cs="Arial"/>
          <w:color w:val="202124"/>
          <w:szCs w:val="24"/>
          <w:lang w:eastAsia="es-CO"/>
        </w:rPr>
      </w:pPr>
      <w:r w:rsidRPr="00AB1C80">
        <w:rPr>
          <w:rFonts w:eastAsia="Times New Roman" w:cs="Arial"/>
          <w:color w:val="202124"/>
          <w:szCs w:val="24"/>
          <w:lang w:eastAsia="es-CO"/>
        </w:rPr>
        <w:t>Procesamiento de minerales: uso de relaves finales en otras actividades productivas.</w:t>
      </w:r>
    </w:p>
    <w:p w14:paraId="207844D9" w14:textId="77777777" w:rsidR="00F65034" w:rsidRPr="00AB1C80" w:rsidRDefault="00F65034" w:rsidP="00F65034">
      <w:pPr>
        <w:pStyle w:val="Prrafodelist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Se percibe que es posible la aplicación de Tecnología Mineral para el uso de productos finales, que se originaron a partir de insumos mineros para su uso en ellos cadenas de producción u otros, reduciendo el impacto en la extracción de minerales crudos (primario). Estos resultados van más allá de la reutilización ya practicada de residuos de procesos de la industria minera; y reutilización y recirculación de agua.</w:t>
      </w:r>
    </w:p>
    <w:p w14:paraId="40F60808" w14:textId="77777777" w:rsidR="00F65034" w:rsidRPr="00AB1C80" w:rsidRDefault="00F65034" w:rsidP="00F65034">
      <w:pPr>
        <w:pStyle w:val="Prrafodelist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lastRenderedPageBreak/>
        <w:t>La rigidez de ubicación del depósito no siempre permite la explotación de recursos minados, mediante simbiosis industrial.</w:t>
      </w:r>
    </w:p>
    <w:p w14:paraId="399EF485" w14:textId="77777777" w:rsidR="00F65034" w:rsidRPr="00AB1C80" w:rsidRDefault="00F65034" w:rsidP="00F65034">
      <w:pPr>
        <w:pStyle w:val="Prrafodelist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Los principios de la EC también se aplican a la recuperación, reacondicionamiento y reutilización de equipo, o su uso por otra empresa en una etapa tecnológica menos avanzado.</w:t>
      </w:r>
    </w:p>
    <w:p w14:paraId="22177573" w14:textId="77777777" w:rsidR="00F65034" w:rsidRPr="00AB1C80" w:rsidRDefault="00F65034" w:rsidP="00F65034">
      <w:pPr>
        <w:pStyle w:val="Prrafodelist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Relevante para considerar los efectos de incentivo / tributación para acelerar la EC, como ocurre en UE y China.</w:t>
      </w:r>
    </w:p>
    <w:p w14:paraId="79017C2A"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9054AB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highlight w:val="yellow"/>
          <w:lang w:eastAsia="es-CO"/>
        </w:rPr>
      </w:pPr>
      <w:r w:rsidRPr="00AB1C80">
        <w:rPr>
          <w:rFonts w:eastAsia="Times New Roman" w:cs="Arial"/>
          <w:color w:val="202124"/>
          <w:szCs w:val="24"/>
          <w:lang w:eastAsia="es-CO"/>
        </w:rPr>
        <w:t>En Brasil,</w:t>
      </w:r>
      <w:r w:rsidRPr="00AB1C80">
        <w:rPr>
          <w:rFonts w:eastAsia="Calibri" w:cs="Arial"/>
          <w:szCs w:val="24"/>
        </w:rPr>
        <w:t xml:space="preserve"> Segura-Salazar y Tavares (2018), señalan que u</w:t>
      </w:r>
      <w:r w:rsidRPr="00AB1C80">
        <w:rPr>
          <w:rFonts w:eastAsia="Times New Roman" w:cs="Arial"/>
          <w:color w:val="202124"/>
          <w:szCs w:val="24"/>
          <w:lang w:eastAsia="es-CO"/>
        </w:rPr>
        <w:t xml:space="preserve">na revisión exhaustiva de artículos académicos publicados sobre el tema durante los últimos 25 años, llevan a construir una mejor definición de sostenibilidad para el sector minero, que aquí se ha propuesto desde una perspectiva más del punto de vista holístico. </w:t>
      </w:r>
    </w:p>
    <w:p w14:paraId="6B107199"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0E2E4FA"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En contraste con el crecimiento ilimitado de la industria minera en el pasado, hay gobiernos e instituciones que postulan que el desarrollo económico basado en el aumento continuo de la extracción de recursos minerales primarios no es sostenible. También hay un reconocimiento general de que las operaciones mineras y de procesamiento de minerales presentan, en general, bajas eficiencias de conversión, alta intensidad de energía, grandes volúmenes de relaves y emisiones, además de una serie de impactos cuyas magnitudes generalmente aumentan a medida que se intensifica la escala de producción y disminuyen las leyes de mineral en bruto.</w:t>
      </w:r>
    </w:p>
    <w:p w14:paraId="4B774853"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3A1E7B95"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Todo esto contribuye notablemente al debate en curso sobre si la minería puede o no ser rigurosamente considerada sostenible. La sostenibilidad se ha abordado comúnmente en el procesamiento de minerales y metales desde dos perspectivas: una se centra en el uso y la gestión de los recursos, y la otra en minimizar los impactos asociados con el proceso de producción. Además, las operaciones mineras se han introducido recientemente en un ámbito más sistémico, mediante la incorporación del concepto de ciclo de vida, que ha sido considerado desde dos puntos de vista diferentes que se cruzan con la etapa de operación de la mina: el Ciclo de Vida del Proyecto Minero, que está relacionado con la vida de una mina e incluye etapas desde la exploración hasta el cierre de la mina o incluso después de la rehabilitación, y la del Ciclo de vida del producto que está asociado a la cadena de valor de un recurso mineral o producto básico en particular, también conocido como </w:t>
      </w:r>
      <w:proofErr w:type="spellStart"/>
      <w:r w:rsidRPr="00AB1C80">
        <w:rPr>
          <w:rFonts w:eastAsia="Times New Roman" w:cs="Arial"/>
          <w:color w:val="202124"/>
          <w:szCs w:val="24"/>
          <w:lang w:eastAsia="es-CO"/>
        </w:rPr>
        <w:t>Life</w:t>
      </w:r>
      <w:proofErr w:type="spellEnd"/>
      <w:r w:rsidRPr="00AB1C80">
        <w:rPr>
          <w:rFonts w:eastAsia="Times New Roman" w:cs="Arial"/>
          <w:color w:val="202124"/>
          <w:szCs w:val="24"/>
          <w:lang w:eastAsia="es-CO"/>
        </w:rPr>
        <w:t xml:space="preserve"> </w:t>
      </w:r>
      <w:proofErr w:type="spellStart"/>
      <w:r w:rsidRPr="00AB1C80">
        <w:rPr>
          <w:rFonts w:eastAsia="Times New Roman" w:cs="Arial"/>
          <w:color w:val="202124"/>
          <w:szCs w:val="24"/>
          <w:lang w:eastAsia="es-CO"/>
        </w:rPr>
        <w:t>Cycle</w:t>
      </w:r>
      <w:proofErr w:type="spellEnd"/>
      <w:r w:rsidRPr="00AB1C80">
        <w:rPr>
          <w:rFonts w:eastAsia="Times New Roman" w:cs="Arial"/>
          <w:color w:val="202124"/>
          <w:szCs w:val="24"/>
          <w:lang w:eastAsia="es-CO"/>
        </w:rPr>
        <w:t xml:space="preserve"> </w:t>
      </w:r>
      <w:proofErr w:type="spellStart"/>
      <w:r w:rsidRPr="00AB1C80">
        <w:rPr>
          <w:rFonts w:eastAsia="Times New Roman" w:cs="Arial"/>
          <w:color w:val="202124"/>
          <w:szCs w:val="24"/>
          <w:lang w:eastAsia="es-CO"/>
        </w:rPr>
        <w:t>Thinking</w:t>
      </w:r>
      <w:proofErr w:type="spellEnd"/>
    </w:p>
    <w:p w14:paraId="3E77DE64" w14:textId="77777777" w:rsidR="00F65034" w:rsidRPr="00AB1C80" w:rsidRDefault="00F65034" w:rsidP="00F65034">
      <w:pPr>
        <w:spacing w:line="276" w:lineRule="auto"/>
        <w:rPr>
          <w:rFonts w:eastAsia="Times New Roman" w:cs="Arial"/>
          <w:color w:val="202124"/>
          <w:szCs w:val="24"/>
          <w:lang w:eastAsia="es-CO"/>
        </w:rPr>
      </w:pPr>
    </w:p>
    <w:p w14:paraId="179B8550" w14:textId="77777777" w:rsidR="00F65034" w:rsidRPr="00AB1C80" w:rsidRDefault="00F65034" w:rsidP="00F65034">
      <w:pPr>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Algunos enfoques de sostenibilidad en la industria de los minerales se han basado en la estructura FCM (modelo de cinco capitales)y se ha utilizado como base teórica, recientemente ampliado a "Modelo de seis capitales", que tiene el "Capital </w:t>
      </w:r>
      <w:r w:rsidRPr="00AB1C80">
        <w:rPr>
          <w:rFonts w:eastAsia="Times New Roman" w:cs="Arial"/>
          <w:color w:val="202124"/>
          <w:szCs w:val="24"/>
          <w:lang w:eastAsia="es-CO"/>
        </w:rPr>
        <w:lastRenderedPageBreak/>
        <w:t>intelectual" agregado o intangibles de una organización basada sobre el conocimiento, y técnicas como la evaluación de riesgos de los procesos (Peligro y operabilidad, Estudios — HAZOP), para proponer una herramienta para la toma de decisiones denominada SUSOP® (Operaciones sostenibles). El objetivo era abordar de forma rigurosa y amplia los aspectos de DS en la elección de alternativas para el diseño y gestión de proyectos mineros, bajo la premisa de que la fase de diseño es donde se encuentran las mayores oportunidades para reducir los impactos y mejorar la sostenibilidad, especialmente con desarrollos innovadores y el uso de las mejores tecnologías disponibles.</w:t>
      </w:r>
    </w:p>
    <w:p w14:paraId="4455FF84"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3238404C" w14:textId="77777777" w:rsidR="00F65034" w:rsidRPr="00AB1C80" w:rsidRDefault="00F65034" w:rsidP="00F65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Según los autores, la innovación tecnológica se convierte en un requisito para hacer las operaciones más sostenibles, de modo que los costos reales de producción sean competitivos en el mercado, los residuos mineros se reduzcan y sea eficiente el uso de recursos, así como el aumento de la recuperación de minerales valiosos, además de reducciones en costos e impactos de infraestructura.  Por otro lado, existe un gran potencial para incorporar innovaciones en las operaciones de explotación y procesamiento desde la etapa de diseño conceptual del proyecto minero. Como tal, los conceptos de reciclaje también se pueden adoptar en este nivel: para residuos de roca y relaves, y posiblemente con el objetivo de la recuperación de residuos industriales y urbanos, como Residuos de construcción y demolición (CDW): para mitigar los impactos ambientales a mayor escala y generar beneficios sociales adicionales, sobre la base de la ecología industrial y los principios de la economía circular. También existe un enorme potencial para la mejora de la ecoeficiencia en toda la operación. </w:t>
      </w:r>
    </w:p>
    <w:p w14:paraId="3307792E" w14:textId="77777777" w:rsidR="00F65034" w:rsidRPr="00AB1C80" w:rsidRDefault="00F65034" w:rsidP="00F65034">
      <w:pPr>
        <w:spacing w:line="276" w:lineRule="auto"/>
        <w:rPr>
          <w:rFonts w:eastAsia="Calibri" w:cs="Arial"/>
          <w:szCs w:val="24"/>
        </w:rPr>
      </w:pPr>
    </w:p>
    <w:p w14:paraId="40C09DD2" w14:textId="77777777" w:rsidR="00F65034" w:rsidRPr="00AB1C80" w:rsidRDefault="00F65034" w:rsidP="00F65034">
      <w:pPr>
        <w:spacing w:line="276" w:lineRule="auto"/>
        <w:rPr>
          <w:rFonts w:eastAsia="Calibri" w:cs="Arial"/>
          <w:szCs w:val="24"/>
        </w:rPr>
      </w:pPr>
      <w:r w:rsidRPr="00AB1C80">
        <w:rPr>
          <w:rFonts w:eastAsia="Calibri" w:cs="Arial"/>
          <w:szCs w:val="24"/>
        </w:rPr>
        <w:t xml:space="preserve">La Revista Nueva Minería y Energía de Chile (2020), define la Economía Circular como una nueva forma de abordar los problemas de una manera económicamente viable, además de establecer nuevas dinámicas sociales y técnicas que conducirán a una producción y consumo responsables, es un sistema que conserva y optimiza el uso de los recursos utilizados en cada proceso y cada etapa de vida del material. </w:t>
      </w:r>
    </w:p>
    <w:p w14:paraId="38735F66" w14:textId="77777777" w:rsidR="00F65034" w:rsidRPr="00AB1C80" w:rsidRDefault="00F65034" w:rsidP="00F65034">
      <w:pPr>
        <w:spacing w:line="276" w:lineRule="auto"/>
        <w:rPr>
          <w:rFonts w:eastAsia="Calibri" w:cs="Arial"/>
          <w:szCs w:val="24"/>
        </w:rPr>
      </w:pPr>
      <w:r w:rsidRPr="00AB1C80">
        <w:rPr>
          <w:rFonts w:eastAsia="Calibri" w:cs="Arial"/>
          <w:szCs w:val="24"/>
        </w:rPr>
        <w:t>En Chile uno de los más recientes avances en la materia, es la creación del Centro Tecnológico de Economía Circular en la Región de Tarapacá, es el primer centro de economía circular en Sudamérica, con el objetivo principal de transformar a la macro zona norte (MZN) en un referente de economía circular en el país y el mundo, con el fin de diversificar la matriz productiva y de comercio de esta zona, enfocado en industrias muy concretas de la zona como la minería de recursos estratégicos para un futuro bajo en Carbono (cobre y litio), energías renovables y almacenamiento de energía.</w:t>
      </w:r>
    </w:p>
    <w:p w14:paraId="3D1FAB4A" w14:textId="77777777" w:rsidR="00F65034" w:rsidRPr="00AB1C80" w:rsidRDefault="00F65034" w:rsidP="00F65034">
      <w:pPr>
        <w:spacing w:line="276" w:lineRule="auto"/>
        <w:rPr>
          <w:rFonts w:eastAsia="Calibri" w:cs="Arial"/>
          <w:szCs w:val="24"/>
        </w:rPr>
      </w:pPr>
    </w:p>
    <w:p w14:paraId="02FB0A8E" w14:textId="77777777" w:rsidR="00F65034" w:rsidRPr="00AB1C80" w:rsidRDefault="00F65034" w:rsidP="00F65034">
      <w:pPr>
        <w:spacing w:line="276" w:lineRule="auto"/>
        <w:rPr>
          <w:rFonts w:eastAsia="Calibri" w:cs="Arial"/>
          <w:szCs w:val="24"/>
        </w:rPr>
      </w:pPr>
      <w:r w:rsidRPr="00AB1C80">
        <w:rPr>
          <w:rFonts w:eastAsia="Calibri" w:cs="Arial"/>
          <w:szCs w:val="24"/>
        </w:rPr>
        <w:lastRenderedPageBreak/>
        <w:t>Al respecto, desde Fundación Terram afirman que la estrategia circular, presenta distintos problemas de implementación, ya que, por una parte, el reprocesamiento de depósitos mineros no cuenta con una normativa específica en Chile que lo regule, causando una serie de dificultades, ambigüedades y disparidades de criterios para su ejecución. Por otra, parte se abren dudas sobre el tratamiento ambiental de los nuevos desechos que se generarían en este proceso, más aún si éstos son tóxicos y/o peligrosos, considerando que eventualmente se reprocesarían elementos que provienen de relaves inactivos o abandonados.</w:t>
      </w:r>
    </w:p>
    <w:p w14:paraId="73D0A6CD" w14:textId="77777777" w:rsidR="00F65034" w:rsidRPr="00AB1C80" w:rsidRDefault="00F65034" w:rsidP="00F65034">
      <w:pPr>
        <w:spacing w:line="276" w:lineRule="auto"/>
        <w:rPr>
          <w:rFonts w:eastAsia="Calibri" w:cs="Arial"/>
          <w:szCs w:val="24"/>
        </w:rPr>
      </w:pPr>
    </w:p>
    <w:p w14:paraId="269BEFAD" w14:textId="77777777" w:rsidR="00F65034" w:rsidRPr="00AB1C80" w:rsidRDefault="00F65034" w:rsidP="00F65034">
      <w:pPr>
        <w:spacing w:line="276" w:lineRule="auto"/>
        <w:rPr>
          <w:rFonts w:eastAsia="Calibri" w:cs="Arial"/>
          <w:szCs w:val="24"/>
        </w:rPr>
      </w:pPr>
      <w:r w:rsidRPr="00AB1C80">
        <w:rPr>
          <w:rFonts w:eastAsia="Calibri" w:cs="Arial"/>
          <w:szCs w:val="24"/>
        </w:rPr>
        <w:t>Es por ello, el llamado a incorporar estos aspectos referentes en el tratamiento sectorial de la economía circular es urgente, pero, al mismo tiempo, debe ser prioridad que se tomen medidas efectivas para dar respuesta a la histórica deuda socio ambiental del sector relacionado a los Pasivos Ambientales Mineros.</w:t>
      </w:r>
    </w:p>
    <w:p w14:paraId="47468B4D" w14:textId="77777777" w:rsidR="00F65034" w:rsidRPr="00AB1C80" w:rsidRDefault="00F65034" w:rsidP="00F65034">
      <w:pPr>
        <w:spacing w:line="276" w:lineRule="auto"/>
        <w:rPr>
          <w:rFonts w:eastAsia="Calibri" w:cs="Arial"/>
          <w:szCs w:val="24"/>
        </w:rPr>
      </w:pPr>
    </w:p>
    <w:p w14:paraId="785ADF70" w14:textId="77777777" w:rsidR="00F65034" w:rsidRPr="00AB1C80" w:rsidRDefault="00F65034" w:rsidP="00F65034">
      <w:pPr>
        <w:spacing w:line="276" w:lineRule="auto"/>
        <w:rPr>
          <w:rFonts w:eastAsia="Calibri" w:cs="Arial"/>
          <w:szCs w:val="24"/>
        </w:rPr>
      </w:pPr>
      <w:r w:rsidRPr="00AB1C80">
        <w:rPr>
          <w:rFonts w:eastAsia="Calibri" w:cs="Arial"/>
          <w:szCs w:val="24"/>
        </w:rPr>
        <w:t>Teniendo en cuenta las reflexiones de diferentes expertos, la estrategia circular que promueve la cartera de minería apunta a la transformación de un pasivo minero en un recurso (activo), fomentando de este modo la extracción de valor de los depósitos de relaves, con base en la “Política de Relaves” la cual detalla que se pretende realizar modificaciones a cuerpos legales y normativos con el objetivo de permitir la reutilización de estos depósitos, avanzar en la investigación y el desarrollo de técnicas de reprocesamiento y nuevos usos de relaves, y, por último, en establecer incentivos ya sean tributarios, por ejemplo, que faciliten su implementación.</w:t>
      </w:r>
    </w:p>
    <w:p w14:paraId="513ABD0E" w14:textId="77777777" w:rsidR="00F65034" w:rsidRPr="00AB1C80" w:rsidRDefault="00F65034" w:rsidP="00F65034">
      <w:pPr>
        <w:spacing w:line="276" w:lineRule="auto"/>
        <w:rPr>
          <w:rFonts w:eastAsia="Calibri" w:cs="Arial"/>
          <w:szCs w:val="24"/>
        </w:rPr>
      </w:pPr>
    </w:p>
    <w:p w14:paraId="5573952E" w14:textId="77777777" w:rsidR="00F65034" w:rsidRPr="00AB1C80" w:rsidRDefault="00F65034" w:rsidP="00F65034">
      <w:pPr>
        <w:spacing w:line="276" w:lineRule="auto"/>
        <w:rPr>
          <w:rFonts w:eastAsia="Calibri" w:cs="Arial"/>
          <w:color w:val="000000"/>
          <w:szCs w:val="24"/>
        </w:rPr>
      </w:pPr>
      <w:r w:rsidRPr="00AB1C80">
        <w:rPr>
          <w:rFonts w:eastAsia="Calibri" w:cs="Arial"/>
          <w:szCs w:val="24"/>
        </w:rPr>
        <w:t>El Libro Blanco de Economía Circular para Ecuador (2021) es el resultado de un proceso académico, práctico y a la vez participativo para la creación de líneas estratégicas y futuras acciones para la implementación de la economía circular en el país.</w:t>
      </w:r>
      <w:r w:rsidRPr="00AB1C80">
        <w:rPr>
          <w:rFonts w:eastAsia="Calibri" w:cs="Arial"/>
          <w:b/>
          <w:szCs w:val="24"/>
        </w:rPr>
        <w:t xml:space="preserve"> </w:t>
      </w:r>
      <w:r w:rsidRPr="00AB1C80">
        <w:rPr>
          <w:rFonts w:eastAsia="Calibri" w:cs="Arial"/>
          <w:color w:val="000000"/>
          <w:szCs w:val="24"/>
        </w:rPr>
        <w:t>La Economía Circular es un modelo que plantea la regeneración y restauración de ecosistemas a través de un cambio estratégico de producción y consumo que evita la generación de residuos desde el diseño. La economía circular engloba 3 principios fundamentales:</w:t>
      </w:r>
    </w:p>
    <w:p w14:paraId="4E2EF069" w14:textId="77777777" w:rsidR="00F65034" w:rsidRPr="00AB1C80" w:rsidRDefault="00F65034" w:rsidP="00F65034">
      <w:pPr>
        <w:spacing w:line="276" w:lineRule="auto"/>
        <w:rPr>
          <w:rFonts w:eastAsia="Calibri" w:cs="Arial"/>
          <w:b/>
          <w:szCs w:val="24"/>
        </w:rPr>
      </w:pPr>
      <w:r w:rsidRPr="00AB1C80">
        <w:rPr>
          <w:rFonts w:eastAsia="Calibri" w:cs="Arial"/>
          <w:color w:val="000000"/>
          <w:szCs w:val="24"/>
        </w:rPr>
        <w:t xml:space="preserve"> </w:t>
      </w:r>
    </w:p>
    <w:p w14:paraId="79C9B8CB" w14:textId="77777777" w:rsidR="00F65034" w:rsidRPr="00AB1C80" w:rsidRDefault="00F65034" w:rsidP="00F65034">
      <w:pPr>
        <w:numPr>
          <w:ilvl w:val="0"/>
          <w:numId w:val="38"/>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 xml:space="preserve">Eliminar residuos y contaminación desde el diseño. </w:t>
      </w:r>
    </w:p>
    <w:p w14:paraId="4AC33CFB" w14:textId="77777777" w:rsidR="00F65034" w:rsidRPr="00AB1C80" w:rsidRDefault="00F65034" w:rsidP="00F65034">
      <w:pPr>
        <w:numPr>
          <w:ilvl w:val="0"/>
          <w:numId w:val="38"/>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 xml:space="preserve">Mantener productos y materiales en uso. </w:t>
      </w:r>
    </w:p>
    <w:p w14:paraId="3F073F20" w14:textId="77777777" w:rsidR="00F65034" w:rsidRPr="00AB1C80" w:rsidRDefault="00F65034" w:rsidP="00F65034">
      <w:pPr>
        <w:numPr>
          <w:ilvl w:val="0"/>
          <w:numId w:val="38"/>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 xml:space="preserve">Regenerar sistemas naturales. </w:t>
      </w:r>
    </w:p>
    <w:p w14:paraId="140D9594" w14:textId="77777777" w:rsidR="00F65034" w:rsidRPr="00AB1C80" w:rsidRDefault="00F65034" w:rsidP="00F65034">
      <w:pPr>
        <w:autoSpaceDE w:val="0"/>
        <w:autoSpaceDN w:val="0"/>
        <w:adjustRightInd w:val="0"/>
        <w:spacing w:line="276" w:lineRule="auto"/>
        <w:rPr>
          <w:rFonts w:eastAsia="Calibri" w:cs="Arial"/>
          <w:color w:val="000000"/>
          <w:szCs w:val="24"/>
        </w:rPr>
      </w:pPr>
    </w:p>
    <w:p w14:paraId="68301845" w14:textId="77777777" w:rsidR="00F65034" w:rsidRPr="00AB1C80" w:rsidRDefault="00F65034" w:rsidP="00F65034">
      <w:pPr>
        <w:autoSpaceDE w:val="0"/>
        <w:autoSpaceDN w:val="0"/>
        <w:adjustRightInd w:val="0"/>
        <w:spacing w:line="276" w:lineRule="auto"/>
        <w:rPr>
          <w:rFonts w:eastAsia="Calibri" w:cs="Arial"/>
          <w:color w:val="000000"/>
          <w:szCs w:val="24"/>
        </w:rPr>
      </w:pPr>
      <w:r w:rsidRPr="00AB1C80">
        <w:rPr>
          <w:rFonts w:eastAsia="Calibri" w:cs="Arial"/>
          <w:color w:val="000000"/>
          <w:szCs w:val="24"/>
        </w:rPr>
        <w:t>La transición a la EC permite crear un modelo en el que el medio ambiente y la sociedad son facto</w:t>
      </w:r>
      <w:r w:rsidRPr="00AB1C80">
        <w:rPr>
          <w:rFonts w:eastAsia="Calibri" w:cs="Arial"/>
          <w:color w:val="000000"/>
          <w:szCs w:val="24"/>
        </w:rPr>
        <w:softHyphen/>
        <w:t xml:space="preserve">res clave para generar sistemas sostenibles que permiten el bienestar económico al fomentar el uso circular de los materiales, desvinculándolos </w:t>
      </w:r>
      <w:r w:rsidRPr="00AB1C80">
        <w:rPr>
          <w:rFonts w:eastAsia="Calibri" w:cs="Arial"/>
          <w:color w:val="000000"/>
          <w:szCs w:val="24"/>
        </w:rPr>
        <w:lastRenderedPageBreak/>
        <w:t>de la extracción y destrucción de recursos natu</w:t>
      </w:r>
      <w:r w:rsidRPr="00AB1C80">
        <w:rPr>
          <w:rFonts w:eastAsia="Calibri" w:cs="Arial"/>
          <w:color w:val="000000"/>
          <w:szCs w:val="24"/>
        </w:rPr>
        <w:softHyphen/>
        <w:t>rales, de la generación de residuos y de la emi</w:t>
      </w:r>
      <w:r w:rsidRPr="00AB1C80">
        <w:rPr>
          <w:rFonts w:eastAsia="Calibri" w:cs="Arial"/>
          <w:color w:val="000000"/>
          <w:szCs w:val="24"/>
        </w:rPr>
        <w:softHyphen/>
        <w:t>sión de gases de efecto invernadero.</w:t>
      </w:r>
    </w:p>
    <w:p w14:paraId="181FF02D" w14:textId="77777777" w:rsidR="00F65034" w:rsidRPr="00AB1C80" w:rsidRDefault="00F65034" w:rsidP="00F65034">
      <w:pPr>
        <w:autoSpaceDE w:val="0"/>
        <w:autoSpaceDN w:val="0"/>
        <w:adjustRightInd w:val="0"/>
        <w:spacing w:line="276" w:lineRule="auto"/>
        <w:rPr>
          <w:rFonts w:eastAsia="Calibri" w:cs="Arial"/>
          <w:color w:val="000000"/>
          <w:szCs w:val="24"/>
        </w:rPr>
      </w:pPr>
      <w:r w:rsidRPr="00AB1C80">
        <w:rPr>
          <w:rFonts w:eastAsia="Calibri" w:cs="Arial"/>
          <w:color w:val="000000"/>
          <w:szCs w:val="24"/>
        </w:rPr>
        <w:t xml:space="preserve">Las líneas de acción fueron estudiadas dentro de los 4 pilares de la economía circular: </w:t>
      </w:r>
    </w:p>
    <w:p w14:paraId="1C4DB169" w14:textId="77777777" w:rsidR="00F65034" w:rsidRPr="00AB1C80" w:rsidRDefault="00F65034" w:rsidP="00F65034">
      <w:pPr>
        <w:autoSpaceDE w:val="0"/>
        <w:autoSpaceDN w:val="0"/>
        <w:adjustRightInd w:val="0"/>
        <w:spacing w:line="276" w:lineRule="auto"/>
        <w:rPr>
          <w:rFonts w:eastAsia="Calibri" w:cs="Arial"/>
          <w:color w:val="000000"/>
          <w:szCs w:val="24"/>
        </w:rPr>
      </w:pPr>
    </w:p>
    <w:p w14:paraId="6B9BD26C" w14:textId="77777777" w:rsidR="00F65034" w:rsidRPr="00AB1C80" w:rsidRDefault="00F65034" w:rsidP="00F65034">
      <w:pPr>
        <w:numPr>
          <w:ilvl w:val="0"/>
          <w:numId w:val="39"/>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Política y Financiamiento</w:t>
      </w:r>
    </w:p>
    <w:p w14:paraId="53E46BCD" w14:textId="77777777" w:rsidR="00F65034" w:rsidRPr="00AB1C80" w:rsidRDefault="00F65034" w:rsidP="00F65034">
      <w:pPr>
        <w:numPr>
          <w:ilvl w:val="0"/>
          <w:numId w:val="39"/>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Producción Sostenible</w:t>
      </w:r>
    </w:p>
    <w:p w14:paraId="7D0866F8" w14:textId="77777777" w:rsidR="00F65034" w:rsidRPr="00AB1C80" w:rsidRDefault="00F65034" w:rsidP="00F65034">
      <w:pPr>
        <w:numPr>
          <w:ilvl w:val="0"/>
          <w:numId w:val="39"/>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Consumo Responsable</w:t>
      </w:r>
    </w:p>
    <w:p w14:paraId="46632D95" w14:textId="77777777" w:rsidR="00F65034" w:rsidRPr="00AB1C80" w:rsidRDefault="00F65034" w:rsidP="00F65034">
      <w:pPr>
        <w:numPr>
          <w:ilvl w:val="0"/>
          <w:numId w:val="39"/>
        </w:numPr>
        <w:autoSpaceDE w:val="0"/>
        <w:autoSpaceDN w:val="0"/>
        <w:adjustRightInd w:val="0"/>
        <w:spacing w:line="276" w:lineRule="auto"/>
        <w:contextualSpacing/>
        <w:rPr>
          <w:rFonts w:eastAsia="Calibri" w:cs="Arial"/>
          <w:color w:val="000000"/>
          <w:szCs w:val="24"/>
        </w:rPr>
      </w:pPr>
      <w:r w:rsidRPr="00AB1C80">
        <w:rPr>
          <w:rFonts w:eastAsia="Calibri" w:cs="Arial"/>
          <w:color w:val="000000"/>
          <w:szCs w:val="24"/>
        </w:rPr>
        <w:t>Gestión Integral de Residuos Sólidos</w:t>
      </w:r>
    </w:p>
    <w:p w14:paraId="65D87FC6" w14:textId="77777777" w:rsidR="00F65034" w:rsidRPr="00AB1C80" w:rsidRDefault="00F65034" w:rsidP="00F65034">
      <w:pPr>
        <w:autoSpaceDE w:val="0"/>
        <w:autoSpaceDN w:val="0"/>
        <w:adjustRightInd w:val="0"/>
        <w:spacing w:line="276" w:lineRule="auto"/>
        <w:rPr>
          <w:rFonts w:eastAsia="Calibri" w:cs="Arial"/>
          <w:color w:val="000000"/>
          <w:szCs w:val="24"/>
        </w:rPr>
      </w:pPr>
    </w:p>
    <w:p w14:paraId="3DAAB62E" w14:textId="77777777" w:rsidR="00F65034" w:rsidRPr="00AB1C80" w:rsidRDefault="00F65034" w:rsidP="00F65034">
      <w:pPr>
        <w:autoSpaceDE w:val="0"/>
        <w:autoSpaceDN w:val="0"/>
        <w:adjustRightInd w:val="0"/>
        <w:spacing w:line="276" w:lineRule="auto"/>
        <w:rPr>
          <w:rFonts w:eastAsia="Calibri" w:cs="Arial"/>
          <w:b/>
          <w:bCs/>
          <w:szCs w:val="24"/>
        </w:rPr>
      </w:pPr>
      <w:r w:rsidRPr="00AB1C80">
        <w:rPr>
          <w:rFonts w:eastAsia="Calibri" w:cs="Arial"/>
          <w:color w:val="000000"/>
          <w:szCs w:val="24"/>
        </w:rPr>
        <w:t xml:space="preserve">Para este caso, se hace una revisión más detallada de las estrategias, acciones e indicadores orientada hacia la producción sostenible en la actividad minera, con el fin de aplicarlas hacia el desarrollo de las líneas estratégicas para la construcción de lineamientos técnicos de economía circular en la actividad minera en Colombia. </w:t>
      </w:r>
    </w:p>
    <w:p w14:paraId="591BE816" w14:textId="77777777" w:rsidR="00F65034" w:rsidRPr="00AB1C80" w:rsidRDefault="00F65034" w:rsidP="00F65034">
      <w:pPr>
        <w:autoSpaceDE w:val="0"/>
        <w:autoSpaceDN w:val="0"/>
        <w:adjustRightInd w:val="0"/>
        <w:spacing w:line="276" w:lineRule="auto"/>
        <w:rPr>
          <w:rFonts w:eastAsia="Calibri" w:cs="Arial"/>
          <w:szCs w:val="24"/>
        </w:rPr>
      </w:pPr>
      <w:r w:rsidRPr="00AB1C80">
        <w:rPr>
          <w:rFonts w:eastAsia="Calibri" w:cs="Arial"/>
          <w:szCs w:val="24"/>
        </w:rPr>
        <w:t>Kishimoto (2021), al analizar el rol del sector minero como impulsor de la economía circular en Perú, afirma que la importancia de la economía circular no solo ha residido en evitar las consecuencias de una explotación irracional, sino también en aprovechar las ventajas que este modelo otorga a las actividades mineras o extractivas. Entre ellos:</w:t>
      </w:r>
    </w:p>
    <w:p w14:paraId="1EA38AFB" w14:textId="77777777" w:rsidR="00F65034" w:rsidRPr="00AB1C80" w:rsidRDefault="00F65034" w:rsidP="00F65034">
      <w:pPr>
        <w:autoSpaceDE w:val="0"/>
        <w:autoSpaceDN w:val="0"/>
        <w:adjustRightInd w:val="0"/>
        <w:spacing w:line="276" w:lineRule="auto"/>
        <w:rPr>
          <w:rFonts w:eastAsia="Calibri" w:cs="Arial"/>
          <w:szCs w:val="24"/>
        </w:rPr>
      </w:pPr>
    </w:p>
    <w:p w14:paraId="031783BF" w14:textId="77777777" w:rsidR="00F65034" w:rsidRPr="00AB1C80" w:rsidRDefault="00F65034" w:rsidP="00F65034">
      <w:pPr>
        <w:numPr>
          <w:ilvl w:val="0"/>
          <w:numId w:val="36"/>
        </w:numPr>
        <w:autoSpaceDE w:val="0"/>
        <w:autoSpaceDN w:val="0"/>
        <w:adjustRightInd w:val="0"/>
        <w:spacing w:line="276" w:lineRule="auto"/>
        <w:contextualSpacing/>
        <w:rPr>
          <w:rFonts w:eastAsia="Calibri" w:cs="Arial"/>
          <w:szCs w:val="24"/>
        </w:rPr>
      </w:pPr>
      <w:r w:rsidRPr="00AB1C80">
        <w:rPr>
          <w:rFonts w:eastAsia="Calibri" w:cs="Arial"/>
          <w:szCs w:val="24"/>
        </w:rPr>
        <w:t>Beneficios medioambientales: cuando una empresa extractiva comienza a aprovechar un yacimiento es para hacerlo durante años e incluso décadas, por ello salvaguarda el medio del que obtiene los recursos naturales.</w:t>
      </w:r>
    </w:p>
    <w:p w14:paraId="3825F195" w14:textId="77777777" w:rsidR="00F65034" w:rsidRPr="00AB1C80" w:rsidRDefault="00F65034" w:rsidP="00F65034">
      <w:pPr>
        <w:numPr>
          <w:ilvl w:val="0"/>
          <w:numId w:val="36"/>
        </w:numPr>
        <w:autoSpaceDE w:val="0"/>
        <w:autoSpaceDN w:val="0"/>
        <w:adjustRightInd w:val="0"/>
        <w:spacing w:line="276" w:lineRule="auto"/>
        <w:contextualSpacing/>
        <w:rPr>
          <w:rFonts w:eastAsia="Calibri" w:cs="Arial"/>
          <w:szCs w:val="24"/>
        </w:rPr>
      </w:pPr>
      <w:r w:rsidRPr="00AB1C80">
        <w:rPr>
          <w:rFonts w:eastAsia="Calibri" w:cs="Arial"/>
          <w:szCs w:val="24"/>
        </w:rPr>
        <w:t>Rentabilidad económica: el aprovechamiento de todos los recursos aumenta la eficiencia de la empresa, lo que antes podría haber sido un deshecho o residuo, ahora adquiere valor de consumo.</w:t>
      </w:r>
    </w:p>
    <w:p w14:paraId="22B1A7A4" w14:textId="77777777" w:rsidR="00F65034" w:rsidRPr="00AB1C80" w:rsidRDefault="00F65034" w:rsidP="00F65034">
      <w:pPr>
        <w:numPr>
          <w:ilvl w:val="0"/>
          <w:numId w:val="36"/>
        </w:numPr>
        <w:autoSpaceDE w:val="0"/>
        <w:autoSpaceDN w:val="0"/>
        <w:adjustRightInd w:val="0"/>
        <w:spacing w:line="276" w:lineRule="auto"/>
        <w:contextualSpacing/>
        <w:rPr>
          <w:rFonts w:eastAsia="Calibri" w:cs="Arial"/>
          <w:szCs w:val="24"/>
        </w:rPr>
      </w:pPr>
      <w:r w:rsidRPr="00AB1C80">
        <w:rPr>
          <w:rFonts w:eastAsia="Calibri" w:cs="Arial"/>
          <w:szCs w:val="24"/>
        </w:rPr>
        <w:t>Dialogo con la sociedad: la ciudadanía es cada vez más consciente de que necesita al sector minero para impulsar el desarrollo, progreso y bienestar. Por otro lado, las empresas mineras tienen la responsabilidad de respetar el entorno donde operan y son conscientes de que necesitan la aceptación de la población para desarrollar su actividad económica. Por ello la minería fundamentalmente propiciando la economía circular, logra mejorar su relación con la comunidad y obtener la “licencia social” para operar.</w:t>
      </w:r>
    </w:p>
    <w:p w14:paraId="14790623" w14:textId="77777777" w:rsidR="00F65034" w:rsidRPr="00AB1C80" w:rsidRDefault="00F65034" w:rsidP="00F65034">
      <w:pPr>
        <w:spacing w:line="276" w:lineRule="auto"/>
        <w:rPr>
          <w:rFonts w:eastAsia="Calibri" w:cs="Arial"/>
          <w:szCs w:val="24"/>
        </w:rPr>
      </w:pPr>
    </w:p>
    <w:p w14:paraId="01ED321A" w14:textId="77777777" w:rsidR="00F65034" w:rsidRPr="00AB1C80" w:rsidRDefault="00F65034" w:rsidP="00F65034">
      <w:pPr>
        <w:spacing w:line="276" w:lineRule="auto"/>
        <w:rPr>
          <w:rFonts w:eastAsia="Calibri" w:cs="Arial"/>
          <w:szCs w:val="24"/>
        </w:rPr>
      </w:pPr>
      <w:r w:rsidRPr="00AB1C80">
        <w:rPr>
          <w:rFonts w:eastAsia="Calibri" w:cs="Arial"/>
          <w:szCs w:val="24"/>
        </w:rPr>
        <w:t>En conclusión, dice el autor, la actividad minera toma mayor relevancia y liderazgo como el principal generador de divisas del país en la reactivación y recuperación de la economía nacional, dando oportunidades para transformar el actual modelo económico con una estrategia que contagia este crecimiento sostenible a los demás sectores económicos con los principios de la economía circular.</w:t>
      </w:r>
    </w:p>
    <w:p w14:paraId="03A7CA91" w14:textId="77777777" w:rsidR="00F65034" w:rsidRPr="00AB1C80" w:rsidRDefault="00F65034" w:rsidP="00F65034">
      <w:pPr>
        <w:autoSpaceDE w:val="0"/>
        <w:autoSpaceDN w:val="0"/>
        <w:adjustRightInd w:val="0"/>
        <w:spacing w:line="276" w:lineRule="auto"/>
        <w:rPr>
          <w:rFonts w:eastAsia="Calibri" w:cs="Arial"/>
          <w:szCs w:val="24"/>
        </w:rPr>
      </w:pPr>
    </w:p>
    <w:p w14:paraId="5712DC37" w14:textId="77777777" w:rsidR="00F65034" w:rsidRPr="00AB1C80" w:rsidRDefault="00F65034" w:rsidP="00F65034">
      <w:pPr>
        <w:autoSpaceDE w:val="0"/>
        <w:autoSpaceDN w:val="0"/>
        <w:adjustRightInd w:val="0"/>
        <w:spacing w:line="276" w:lineRule="auto"/>
        <w:rPr>
          <w:rFonts w:eastAsia="Calibri" w:cs="Arial"/>
          <w:szCs w:val="24"/>
        </w:rPr>
      </w:pPr>
      <w:r w:rsidRPr="00AB1C80">
        <w:rPr>
          <w:rFonts w:eastAsia="Calibri" w:cs="Arial"/>
          <w:szCs w:val="24"/>
        </w:rPr>
        <w:t xml:space="preserve">Con el avance y evolución de la economía del reciclaje surge el desarrollo de la economía circular, en el cual se invoca a implantar una economía con el principio de </w:t>
      </w:r>
      <w:r w:rsidRPr="00AB1C80">
        <w:rPr>
          <w:rFonts w:eastAsia="Calibri" w:cs="Arial"/>
          <w:b/>
          <w:szCs w:val="24"/>
        </w:rPr>
        <w:t>“cerrar y abrir ciclos de vida”</w:t>
      </w:r>
      <w:r w:rsidRPr="00AB1C80">
        <w:rPr>
          <w:rFonts w:eastAsia="Calibri" w:cs="Arial"/>
          <w:szCs w:val="24"/>
        </w:rPr>
        <w:t xml:space="preserve"> de los productos, produciendo bienes y servicios que a la vez reduzcan el consumo, los desechos y desperdicio de materias primas principalmente el agua y la energía, reafirmando la sustentabilidad y la sostenibilidad de las actividades cotidianas. En el caso del modelo de negocios del sector minero peruano, según el artículo, la economía circular se ha venido aplicando, aunque sin darle dicho nombre, dado que hay cada vez más técnicas eficientes, productivas y que reducen el impacto ambiental.</w:t>
      </w:r>
    </w:p>
    <w:p w14:paraId="09971C04" w14:textId="77777777" w:rsidR="00F65034" w:rsidRPr="00AB1C80" w:rsidRDefault="00F65034" w:rsidP="00F65034">
      <w:pPr>
        <w:autoSpaceDE w:val="0"/>
        <w:autoSpaceDN w:val="0"/>
        <w:adjustRightInd w:val="0"/>
        <w:spacing w:line="276" w:lineRule="auto"/>
        <w:rPr>
          <w:rFonts w:eastAsia="Calibri" w:cs="Arial"/>
          <w:szCs w:val="24"/>
        </w:rPr>
      </w:pPr>
    </w:p>
    <w:p w14:paraId="051A7B2E" w14:textId="77777777" w:rsidR="00F65034" w:rsidRPr="00AB1C80" w:rsidRDefault="00F65034" w:rsidP="00F65034">
      <w:pPr>
        <w:autoSpaceDE w:val="0"/>
        <w:autoSpaceDN w:val="0"/>
        <w:adjustRightInd w:val="0"/>
        <w:spacing w:line="276" w:lineRule="auto"/>
        <w:rPr>
          <w:rFonts w:eastAsia="Calibri" w:cs="Arial"/>
          <w:szCs w:val="24"/>
        </w:rPr>
      </w:pPr>
      <w:r w:rsidRPr="00AB1C80">
        <w:rPr>
          <w:rFonts w:eastAsia="Calibri" w:cs="Arial"/>
          <w:szCs w:val="24"/>
        </w:rPr>
        <w:t xml:space="preserve">En su tesis de posgrado, Mendiola (2019) al estudiar alternativas de usos para los residuos de minería en Perú (neumáticos de caucho, relaves, desmontes, residuos sólidos, etc.) estima que uno de éstas es aprovechándolo como materia prima para otras industrias, fomentando la creación de negocios paralelos que permiten brindar una responsabilidad social efectiva con población circundante sin impacto negativo al negocio minero central. </w:t>
      </w:r>
    </w:p>
    <w:p w14:paraId="63F45040" w14:textId="77777777" w:rsidR="00F65034" w:rsidRPr="00AB1C80" w:rsidRDefault="00F65034" w:rsidP="00F65034">
      <w:pPr>
        <w:autoSpaceDE w:val="0"/>
        <w:autoSpaceDN w:val="0"/>
        <w:adjustRightInd w:val="0"/>
        <w:spacing w:line="276" w:lineRule="auto"/>
        <w:rPr>
          <w:rFonts w:eastAsia="Calibri" w:cs="Arial"/>
          <w:szCs w:val="24"/>
        </w:rPr>
      </w:pPr>
    </w:p>
    <w:p w14:paraId="2EB79E76" w14:textId="77777777" w:rsidR="00F65034" w:rsidRPr="00AB1C80" w:rsidRDefault="00F65034" w:rsidP="00F65034">
      <w:pPr>
        <w:autoSpaceDE w:val="0"/>
        <w:autoSpaceDN w:val="0"/>
        <w:adjustRightInd w:val="0"/>
        <w:spacing w:line="276" w:lineRule="auto"/>
        <w:rPr>
          <w:rFonts w:eastAsia="Calibri" w:cs="Arial"/>
          <w:szCs w:val="24"/>
        </w:rPr>
      </w:pPr>
      <w:r w:rsidRPr="00AB1C80">
        <w:rPr>
          <w:rFonts w:eastAsia="Calibri" w:cs="Arial"/>
          <w:szCs w:val="24"/>
        </w:rPr>
        <w:t xml:space="preserve">Así mismo, generar propuestas normativas que permitan mejorar el desarrollo del sector e inclusive premiar o incentivar las iniciativas verdes de alto impacto de las empresas mineras enrumbando hacia una economía circular auto sostenible y amigable con el medio amiente. </w:t>
      </w:r>
    </w:p>
    <w:p w14:paraId="5546EE55" w14:textId="77777777" w:rsidR="00F65034" w:rsidRPr="00AB1C80" w:rsidRDefault="00F65034" w:rsidP="00F65034">
      <w:pPr>
        <w:autoSpaceDE w:val="0"/>
        <w:autoSpaceDN w:val="0"/>
        <w:adjustRightInd w:val="0"/>
        <w:spacing w:line="276" w:lineRule="auto"/>
        <w:rPr>
          <w:rFonts w:eastAsia="Calibri" w:cs="Arial"/>
          <w:color w:val="000000"/>
          <w:szCs w:val="24"/>
        </w:rPr>
      </w:pPr>
    </w:p>
    <w:p w14:paraId="1D320813" w14:textId="77777777" w:rsidR="00F65034" w:rsidRPr="00AB1C80" w:rsidRDefault="00F65034" w:rsidP="00F65034">
      <w:pPr>
        <w:autoSpaceDE w:val="0"/>
        <w:autoSpaceDN w:val="0"/>
        <w:adjustRightInd w:val="0"/>
        <w:spacing w:line="276" w:lineRule="auto"/>
        <w:rPr>
          <w:rFonts w:eastAsia="Calibri" w:cs="Arial"/>
          <w:color w:val="000000"/>
          <w:szCs w:val="24"/>
        </w:rPr>
      </w:pPr>
      <w:r w:rsidRPr="00AB1C80">
        <w:rPr>
          <w:rFonts w:eastAsia="Calibri" w:cs="Arial"/>
          <w:color w:val="000000"/>
          <w:szCs w:val="24"/>
        </w:rPr>
        <w:t>Es de resaltar también la afirmación que establece el autor: la minería puede aplicar un modelo de economía circular en su proceso productivo a través de la herramienta de innovación y se podría aplicar en su mayor problema a la gestión de residuos.</w:t>
      </w:r>
    </w:p>
    <w:p w14:paraId="236C8889" w14:textId="77777777" w:rsidR="00F65034" w:rsidRPr="00AB1C80" w:rsidRDefault="00F65034" w:rsidP="00F65034">
      <w:pPr>
        <w:autoSpaceDE w:val="0"/>
        <w:autoSpaceDN w:val="0"/>
        <w:adjustRightInd w:val="0"/>
        <w:spacing w:line="276" w:lineRule="auto"/>
        <w:rPr>
          <w:rFonts w:eastAsia="Calibri" w:cs="Arial"/>
          <w:szCs w:val="24"/>
        </w:rPr>
      </w:pPr>
      <w:r w:rsidRPr="00AB1C80">
        <w:rPr>
          <w:rFonts w:eastAsia="Calibri" w:cs="Arial"/>
          <w:szCs w:val="24"/>
        </w:rPr>
        <w:t>Con el fin de llevar a cabo el desarrollo de la investigación tuvo en cuenta los siguientes aspectos relevantes:</w:t>
      </w:r>
    </w:p>
    <w:p w14:paraId="15BEBC20" w14:textId="77777777" w:rsidR="00F65034" w:rsidRPr="00AB1C80" w:rsidRDefault="00F65034" w:rsidP="00F65034">
      <w:pPr>
        <w:autoSpaceDE w:val="0"/>
        <w:autoSpaceDN w:val="0"/>
        <w:adjustRightInd w:val="0"/>
        <w:spacing w:line="276" w:lineRule="auto"/>
        <w:rPr>
          <w:rFonts w:eastAsia="Calibri" w:cs="Arial"/>
          <w:szCs w:val="24"/>
        </w:rPr>
      </w:pPr>
    </w:p>
    <w:p w14:paraId="5143CE9F" w14:textId="77777777" w:rsidR="00F65034" w:rsidRPr="00AB1C80" w:rsidRDefault="00F65034" w:rsidP="00F65034">
      <w:pPr>
        <w:numPr>
          <w:ilvl w:val="0"/>
          <w:numId w:val="37"/>
        </w:numPr>
        <w:autoSpaceDE w:val="0"/>
        <w:autoSpaceDN w:val="0"/>
        <w:adjustRightInd w:val="0"/>
        <w:spacing w:line="276" w:lineRule="auto"/>
        <w:contextualSpacing/>
        <w:rPr>
          <w:rFonts w:eastAsia="Calibri" w:cs="Arial"/>
          <w:szCs w:val="24"/>
        </w:rPr>
      </w:pPr>
      <w:r w:rsidRPr="00AB1C80">
        <w:rPr>
          <w:rFonts w:eastAsia="Calibri" w:cs="Arial"/>
          <w:szCs w:val="24"/>
        </w:rPr>
        <w:t>La aplicación de economías circulares en la minería permitiendo que en el reciclaje y reutilización de neumáticos de caucho para que se genere incentivos económicos.</w:t>
      </w:r>
    </w:p>
    <w:p w14:paraId="315A900A" w14:textId="77777777" w:rsidR="00F65034" w:rsidRPr="00AB1C80" w:rsidRDefault="00F65034" w:rsidP="00F65034">
      <w:pPr>
        <w:numPr>
          <w:ilvl w:val="0"/>
          <w:numId w:val="37"/>
        </w:numPr>
        <w:autoSpaceDE w:val="0"/>
        <w:autoSpaceDN w:val="0"/>
        <w:adjustRightInd w:val="0"/>
        <w:spacing w:line="276" w:lineRule="auto"/>
        <w:contextualSpacing/>
        <w:rPr>
          <w:rFonts w:eastAsia="Calibri" w:cs="Arial"/>
          <w:szCs w:val="24"/>
        </w:rPr>
      </w:pPr>
      <w:r w:rsidRPr="00AB1C80">
        <w:rPr>
          <w:rFonts w:eastAsia="Calibri" w:cs="Arial"/>
          <w:szCs w:val="24"/>
        </w:rPr>
        <w:t>La evaluación económica de proyectos mineros implementando inversiones innovadoras para economías circulares.</w:t>
      </w:r>
    </w:p>
    <w:p w14:paraId="7A54A725" w14:textId="77777777" w:rsidR="00F65034" w:rsidRPr="00AB1C80" w:rsidRDefault="00F65034" w:rsidP="00F65034">
      <w:pPr>
        <w:numPr>
          <w:ilvl w:val="0"/>
          <w:numId w:val="37"/>
        </w:numPr>
        <w:autoSpaceDE w:val="0"/>
        <w:autoSpaceDN w:val="0"/>
        <w:adjustRightInd w:val="0"/>
        <w:spacing w:line="276" w:lineRule="auto"/>
        <w:contextualSpacing/>
        <w:rPr>
          <w:rFonts w:eastAsia="Calibri" w:cs="Arial"/>
          <w:szCs w:val="24"/>
        </w:rPr>
      </w:pPr>
      <w:r w:rsidRPr="00AB1C80">
        <w:rPr>
          <w:rFonts w:eastAsia="Calibri" w:cs="Arial"/>
          <w:szCs w:val="24"/>
        </w:rPr>
        <w:t>La aplicación de economías circulares y generación de comercios alternos como responsabilidad social empresarial.</w:t>
      </w:r>
    </w:p>
    <w:p w14:paraId="1C9D3CA4" w14:textId="77777777" w:rsidR="00F65034" w:rsidRPr="00AB1C80" w:rsidRDefault="00F65034" w:rsidP="00F65034">
      <w:pPr>
        <w:autoSpaceDE w:val="0"/>
        <w:autoSpaceDN w:val="0"/>
        <w:adjustRightInd w:val="0"/>
        <w:spacing w:line="276" w:lineRule="auto"/>
        <w:rPr>
          <w:rFonts w:eastAsia="Calibri" w:cs="Arial"/>
          <w:szCs w:val="24"/>
        </w:rPr>
      </w:pPr>
    </w:p>
    <w:p w14:paraId="572C1F57" w14:textId="77777777" w:rsidR="00F65034" w:rsidRPr="00AB1C80" w:rsidRDefault="00F65034" w:rsidP="00F65034">
      <w:pPr>
        <w:spacing w:line="276" w:lineRule="auto"/>
        <w:rPr>
          <w:rFonts w:cs="Arial"/>
          <w:szCs w:val="24"/>
        </w:rPr>
      </w:pPr>
      <w:r w:rsidRPr="00AB1C80">
        <w:rPr>
          <w:rFonts w:cs="Arial"/>
          <w:szCs w:val="24"/>
        </w:rPr>
        <w:t xml:space="preserve">En el estudio de Estrada (2012), donde se analiza la factibilidad técnica y económica de recuperar oro y plata desde el depósito de relaves de Minera Meridian Ltda., </w:t>
      </w:r>
      <w:r w:rsidRPr="00AB1C80">
        <w:rPr>
          <w:rFonts w:cs="Arial"/>
          <w:szCs w:val="24"/>
        </w:rPr>
        <w:lastRenderedPageBreak/>
        <w:t>Faena El Peñón, localizado en el desierto de Atacama, al norte de Chile, en acuerdo con el Superintendente de Metalurgia de la Planta se seleccionaron algunas pruebas metalúrgicas al mineral para determinar la relación, como: Lavado del Mineral de relaves para determinar el porcentaje de oro y plata impregnados en el mismo, Molienda del Mineral de relaves a distintas granulometrías para determinar la influencia de esta en la recuperación de mineral valioso, cianuración del mineral de relaves a distintos tiempos para determinar su influencia en la recuperación de oro y plata y Concentración por Flotación para determinar el porcentaje de mineral valioso que es recuperado en el concentrado. El proceso productivo sería el mismo que se utiliza actualmente para recuperar oro y plata desde el mineral nuevo procedente de la mina, con la diferencia que este comenzará en la etapa de remolienda del mineral eliminando la etapa de chancado y sustituyendo la de molienda. Este tipo de estudios se pueden tomar como ejemplos de que, si es factible hacer recuperación de minerales a buena escala en los depósitos de relaves, lo cual podría aplicar en nuestro territorio.</w:t>
      </w:r>
    </w:p>
    <w:p w14:paraId="52BB3C8C" w14:textId="77777777" w:rsidR="00F65034" w:rsidRPr="00AB1C80" w:rsidRDefault="00F65034" w:rsidP="00F65034">
      <w:pPr>
        <w:spacing w:line="276" w:lineRule="auto"/>
        <w:rPr>
          <w:rFonts w:cs="Arial"/>
          <w:color w:val="202124"/>
          <w:lang w:eastAsia="es-CO"/>
        </w:rPr>
      </w:pPr>
    </w:p>
    <w:p w14:paraId="5C52B763" w14:textId="1224CB89" w:rsidR="00F3736B" w:rsidRPr="00AB1C80" w:rsidRDefault="00F3736B" w:rsidP="00AB1C80">
      <w:pPr>
        <w:pStyle w:val="Ttulo5"/>
        <w:numPr>
          <w:ilvl w:val="0"/>
          <w:numId w:val="43"/>
        </w:numPr>
        <w:spacing w:before="0" w:line="276" w:lineRule="auto"/>
        <w:rPr>
          <w:rFonts w:eastAsia="Calibri" w:cs="Arial"/>
        </w:rPr>
      </w:pPr>
      <w:r w:rsidRPr="00AB1C80">
        <w:rPr>
          <w:rFonts w:cs="Arial"/>
        </w:rPr>
        <w:t xml:space="preserve">Sobre </w:t>
      </w:r>
      <w:r w:rsidR="00912A57" w:rsidRPr="00AB1C80">
        <w:rPr>
          <w:rFonts w:cs="Arial"/>
        </w:rPr>
        <w:t>mejores prácticas de gestión de estériles relacionadas con la economía circular</w:t>
      </w:r>
      <w:bookmarkEnd w:id="132"/>
    </w:p>
    <w:p w14:paraId="6C523D6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Las siguientes prácticas, definidas por la Comisión Europea (2019) se centran en la gestión de recursos aplicada en el sector extractivo que puede desempeñar un papel central en la economía circular.</w:t>
      </w:r>
    </w:p>
    <w:p w14:paraId="2A09D270"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55DAD3A6"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práctica 1: Exploración y diseño del sitio efectivos</w:t>
      </w:r>
    </w:p>
    <w:p w14:paraId="46F673A7"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Las prácticas de gestión de materiales extractivos (incluidos los residuos) comienzan en la fase de diseño para la operación de la mina. La optimización de la extracción de minerales y la minimización de la generación de residuos pueden ser logradas mediante el fortalecimiento de los primeros pasos del ciclo de vida de las industrias extractivas, como diseño de exploración, caracterización y operación, tomando también en consideración el entorno comercial.</w:t>
      </w:r>
    </w:p>
    <w:p w14:paraId="77BF9A2B"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0C8A4EE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Los esfuerzos de exploración son la base de un proyecto minero. Métodos de exploración no invasivos, a saber, varios tipos de geoeléctricos y sísmicos, se pueden utilizar para permitir técnicas de extracción específicas, técnicas geofísicas, como la tomografía por resistividad eléctrica (ERT) o el radar de penetración terrestre (GPR) o diferentes formas de sísmica se utilizan. </w:t>
      </w:r>
    </w:p>
    <w:p w14:paraId="31026B6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4DF4D0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Sin embargo, cualquier elección de estrategia minera depende de una amplia gama de factores, incluida la profundidad del mineral objetivo bajo tierra, la extensión de su ocurrencia, las características y tectónica de las rocas anfitrionas, la hidrología </w:t>
      </w:r>
      <w:r w:rsidRPr="00AB1C80">
        <w:rPr>
          <w:rFonts w:eastAsia="Times New Roman" w:cs="Arial"/>
          <w:color w:val="202124"/>
          <w:szCs w:val="24"/>
          <w:lang w:eastAsia="es-CO"/>
        </w:rPr>
        <w:lastRenderedPageBreak/>
        <w:t xml:space="preserve">del agua subterránea, huella permisible, disponible tecnología minera y recursos humanos disponibles. </w:t>
      </w:r>
    </w:p>
    <w:p w14:paraId="459B9E26"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E0EFB0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 xml:space="preserve">Mejor práctica 2: Rompimiento eficaz de rocas </w:t>
      </w:r>
    </w:p>
    <w:p w14:paraId="1FC06873"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El aflojamiento de la roca se realiza tradicionalmente mediante excavadoras mecánicas o mediante perforación y voladura. Una selección óptima de revestimientos de pared mecanizados y de máquinas mineras depende de las condiciones geológicas y geotécnicas esperadas, lo que lleva a una extracción más específica y, como consecuencia, a la producción eficiente y la reducción de residuos. El mismo principio se aplica a la estrategia y técnica de voladura.</w:t>
      </w:r>
    </w:p>
    <w:p w14:paraId="3373CCD5"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C85E509"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práctica 3: Transporte eficiente</w:t>
      </w:r>
    </w:p>
    <w:p w14:paraId="37B08C6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La red de acceso y transporte de la mina y la elección de un equipo de transporte adecuado y la técnica es un problema de optimización multidimensional que debe tenerse en cuenta en la fase de diseño. Optimizando el camino (subterráneo o de superficie transporte, utilizando camiones o cintas transportadoras) por lo general conduce a uso eficiente de la energía, menos perturbación del entorno y en algunos casos reduce la cantidad de roca a excavar.  </w:t>
      </w:r>
    </w:p>
    <w:p w14:paraId="0B07D25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61D3BE8" w14:textId="70B520E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práctica</w:t>
      </w:r>
      <w:r w:rsidR="00912A57" w:rsidRPr="00AB1C80">
        <w:rPr>
          <w:rFonts w:eastAsia="Times New Roman" w:cs="Arial"/>
          <w:b/>
          <w:bCs/>
          <w:color w:val="202124"/>
          <w:szCs w:val="24"/>
          <w:lang w:eastAsia="es-CO"/>
        </w:rPr>
        <w:t xml:space="preserve"> </w:t>
      </w:r>
      <w:r w:rsidRPr="00AB1C80">
        <w:rPr>
          <w:rFonts w:eastAsia="Times New Roman" w:cs="Arial"/>
          <w:b/>
          <w:bCs/>
          <w:color w:val="202124"/>
          <w:szCs w:val="24"/>
          <w:lang w:eastAsia="es-CO"/>
        </w:rPr>
        <w:t>4: Clasificación efectiva de minerales y procesamiento selectivo de minerales</w:t>
      </w:r>
    </w:p>
    <w:p w14:paraId="6A900720"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La separación de las fracciones de procesamiento maximiza la eficiencia del beneficio y puede, en algunos casos, reducir la nocividad de los residuos extractivos producidos. Una mejor separación in situ del mineral de los desechos de extracción significa ocasionalmente la prevención de generación de desechos y mejor gestión de residuos extractivos. </w:t>
      </w:r>
    </w:p>
    <w:p w14:paraId="326E3A48"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9BEA5F6" w14:textId="0F6D7328" w:rsidR="00F3736B" w:rsidRPr="00AB1C80" w:rsidRDefault="00912A57"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w:t>
      </w:r>
      <w:r w:rsidR="00F3736B" w:rsidRPr="00AB1C80">
        <w:rPr>
          <w:rFonts w:eastAsia="Times New Roman" w:cs="Arial"/>
          <w:b/>
          <w:bCs/>
          <w:color w:val="202124"/>
          <w:szCs w:val="24"/>
          <w:lang w:eastAsia="es-CO"/>
        </w:rPr>
        <w:t>ráctica 5: Uso efectivo de materiales excavados</w:t>
      </w:r>
    </w:p>
    <w:p w14:paraId="31F1A4FC" w14:textId="77777777" w:rsidR="00F3736B" w:rsidRPr="00AB1C80" w:rsidRDefault="00F3736B" w:rsidP="00AB1C80">
      <w:pPr>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rPr>
          <w:rFonts w:eastAsia="Times New Roman" w:cs="Arial"/>
          <w:color w:val="202124"/>
          <w:szCs w:val="24"/>
          <w:lang w:eastAsia="es-CO"/>
        </w:rPr>
      </w:pPr>
      <w:r w:rsidRPr="00AB1C80">
        <w:rPr>
          <w:rFonts w:eastAsia="Times New Roman" w:cs="Arial"/>
          <w:color w:val="202124"/>
          <w:szCs w:val="24"/>
          <w:lang w:eastAsia="es-CO"/>
        </w:rPr>
        <w:t xml:space="preserve">Relleno de huecos de excavación con material excavado. </w:t>
      </w:r>
    </w:p>
    <w:p w14:paraId="1E53307D"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7877F62F"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La devolución de materiales extraídos en huecos de excavación se presenta como la mejor práctica ya que contribuye a la prevención y / o reducción de la generación de residuos extractivos.</w:t>
      </w:r>
    </w:p>
    <w:p w14:paraId="2D2C73EB"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D67C82E" w14:textId="77777777" w:rsidR="00F3736B" w:rsidRPr="00AB1C80" w:rsidRDefault="00F3736B" w:rsidP="00AB1C80">
      <w:pPr>
        <w:pStyle w:val="Prrafodelista"/>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Minerales de construcción como materiales comercializables a partir de desechos de extracción</w:t>
      </w:r>
    </w:p>
    <w:p w14:paraId="31773CF7"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466AA8AC"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La sobrecarga y la roca estéril pueden recuperarse para la producción de agregados y dar lugar a una reducción de los volúmenes de residuos extractivos. </w:t>
      </w:r>
    </w:p>
    <w:p w14:paraId="04D59944"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lastRenderedPageBreak/>
        <w:t>Mejor práctica 6: Gestión eficaz de la capa superficial del suelo</w:t>
      </w:r>
    </w:p>
    <w:p w14:paraId="116583D2"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Volver a colocar la capa superior del suelo después del cierre de la instalación de desechos o, si esto no es prácticamente posible factible, reutilizar la capa superior del suelo en otro lugar (por ejemplo, con fines de jardinería y revegetación) fortalece la aplicación de los principios de la Economía Circular.</w:t>
      </w:r>
    </w:p>
    <w:p w14:paraId="7E7ED904"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63586477"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práctica 7: Planificación y gestión de la eliminación para más adelante recuperación</w:t>
      </w:r>
    </w:p>
    <w:p w14:paraId="5113065E"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r w:rsidRPr="00AB1C80">
        <w:rPr>
          <w:rFonts w:eastAsia="Times New Roman" w:cs="Arial"/>
          <w:color w:val="202124"/>
          <w:szCs w:val="24"/>
          <w:lang w:eastAsia="es-CO"/>
        </w:rPr>
        <w:t xml:space="preserve">Residuos de escaso valor originalmente, que están fácilmente disponibles en relaves, se someten a procesos de recuperación en para obtener productos totalmente calificados. Los avances tecnológicos hacen económicamente viable el uso de residuos extractivos históricos como recurso, especialmente en combinación con yacimientos minerales recién descubiertos. </w:t>
      </w:r>
    </w:p>
    <w:p w14:paraId="61E81585"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eastAsia="es-CO"/>
        </w:rPr>
      </w:pPr>
    </w:p>
    <w:p w14:paraId="1F8E7333" w14:textId="77777777" w:rsidR="00F3736B" w:rsidRPr="00AB1C80" w:rsidRDefault="00F3736B" w:rsidP="00AB1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b/>
          <w:bCs/>
          <w:color w:val="202124"/>
          <w:szCs w:val="24"/>
          <w:lang w:eastAsia="es-CO"/>
        </w:rPr>
      </w:pPr>
      <w:r w:rsidRPr="00AB1C80">
        <w:rPr>
          <w:rFonts w:eastAsia="Times New Roman" w:cs="Arial"/>
          <w:b/>
          <w:bCs/>
          <w:color w:val="202124"/>
          <w:szCs w:val="24"/>
          <w:lang w:eastAsia="es-CO"/>
        </w:rPr>
        <w:t>Mejor práctica 8: Monitoreo efectivo de la implementación de la EWMP y su revisión</w:t>
      </w:r>
    </w:p>
    <w:p w14:paraId="3B6B1336" w14:textId="36E623E0" w:rsidR="00773971" w:rsidRPr="00AB1C80" w:rsidRDefault="00F3736B" w:rsidP="00AB1C80">
      <w:pPr>
        <w:spacing w:line="276" w:lineRule="auto"/>
        <w:rPr>
          <w:rFonts w:cs="Arial"/>
          <w:color w:val="000000" w:themeColor="text1"/>
        </w:rPr>
      </w:pPr>
      <w:r w:rsidRPr="00AB1C80">
        <w:rPr>
          <w:rFonts w:eastAsia="Times New Roman" w:cs="Arial"/>
          <w:color w:val="202124"/>
          <w:szCs w:val="24"/>
          <w:lang w:eastAsia="es-CO"/>
        </w:rPr>
        <w:t>Cada Plan de Gestión de Residuos Extractivos es revisado por el operador cada cinco años y / o modificado, según proceda, en caso de cambios sustanciales en el funcionamiento de los residuos instalación o a los residuos depositados. El monitoreo es una herramienta importante para verificar que un EWMP cumple sus objetivos.</w:t>
      </w:r>
    </w:p>
    <w:p w14:paraId="6B5177F0" w14:textId="77777777" w:rsidR="00773971" w:rsidRPr="00AB1C80" w:rsidRDefault="00773971" w:rsidP="00AB1C80">
      <w:pPr>
        <w:spacing w:line="276" w:lineRule="auto"/>
        <w:rPr>
          <w:rFonts w:cs="Arial"/>
          <w:color w:val="000000" w:themeColor="text1"/>
        </w:rPr>
      </w:pPr>
    </w:p>
    <w:p w14:paraId="7C5D8870" w14:textId="77777777" w:rsidR="00DE2BF8" w:rsidRPr="00AB1C80" w:rsidRDefault="00DE2BF8" w:rsidP="00AB1C80">
      <w:pPr>
        <w:pStyle w:val="Ttulo4"/>
        <w:spacing w:line="276" w:lineRule="auto"/>
        <w:rPr>
          <w:rFonts w:ascii="Arial" w:hAnsi="Arial"/>
        </w:rPr>
      </w:pPr>
      <w:bookmarkStart w:id="133" w:name="_Toc86332942"/>
      <w:r w:rsidRPr="00AB1C80">
        <w:rPr>
          <w:rFonts w:ascii="Arial" w:hAnsi="Arial"/>
        </w:rPr>
        <w:t>Marco normativo</w:t>
      </w:r>
      <w:bookmarkEnd w:id="133"/>
    </w:p>
    <w:p w14:paraId="2B483610" w14:textId="214125DC" w:rsidR="00DE2BF8" w:rsidRPr="00AB1C80" w:rsidRDefault="00DE2BF8" w:rsidP="00AB1C80">
      <w:pPr>
        <w:spacing w:line="276" w:lineRule="auto"/>
        <w:rPr>
          <w:rFonts w:cs="Arial"/>
          <w:color w:val="000000" w:themeColor="text1"/>
        </w:rPr>
      </w:pPr>
    </w:p>
    <w:p w14:paraId="7DBFCBD5" w14:textId="07890D09" w:rsidR="00FF1961" w:rsidRPr="00AB1C80" w:rsidRDefault="00FF1961" w:rsidP="00AB1C80">
      <w:pPr>
        <w:spacing w:line="276" w:lineRule="auto"/>
        <w:rPr>
          <w:rFonts w:cs="Arial"/>
        </w:rPr>
      </w:pPr>
      <w:r w:rsidRPr="00AB1C80">
        <w:rPr>
          <w:rFonts w:cs="Arial"/>
        </w:rPr>
        <w:t xml:space="preserve">A continuación, en la </w:t>
      </w:r>
      <w:r w:rsidRPr="00AB1C80">
        <w:rPr>
          <w:rFonts w:cs="Arial"/>
          <w:b/>
          <w:bCs/>
        </w:rPr>
        <w:fldChar w:fldCharType="begin"/>
      </w:r>
      <w:r w:rsidRPr="00AB1C80">
        <w:rPr>
          <w:rFonts w:cs="Arial"/>
          <w:b/>
          <w:bCs/>
        </w:rPr>
        <w:instrText xml:space="preserve"> REF _Ref86264344 \h  \* MERGEFORMAT </w:instrText>
      </w:r>
      <w:r w:rsidRPr="00AB1C80">
        <w:rPr>
          <w:rFonts w:cs="Arial"/>
          <w:b/>
          <w:bCs/>
        </w:rPr>
      </w:r>
      <w:r w:rsidRPr="00AB1C80">
        <w:rPr>
          <w:rFonts w:cs="Arial"/>
          <w:b/>
          <w:bCs/>
        </w:rPr>
        <w:fldChar w:fldCharType="separate"/>
      </w:r>
      <w:r w:rsidR="00AB1C80" w:rsidRPr="00AB1C80">
        <w:rPr>
          <w:rFonts w:cs="Arial"/>
          <w:b/>
          <w:bCs/>
        </w:rPr>
        <w:t xml:space="preserve">Tabla </w:t>
      </w:r>
      <w:r w:rsidR="00AB1C80" w:rsidRPr="00AB1C80">
        <w:rPr>
          <w:rFonts w:cs="Arial"/>
          <w:b/>
          <w:bCs/>
          <w:noProof/>
        </w:rPr>
        <w:t>32</w:t>
      </w:r>
      <w:r w:rsidRPr="00AB1C80">
        <w:rPr>
          <w:rFonts w:cs="Arial"/>
          <w:b/>
          <w:bCs/>
        </w:rPr>
        <w:fldChar w:fldCharType="end"/>
      </w:r>
      <w:r w:rsidRPr="00AB1C80">
        <w:rPr>
          <w:rFonts w:cs="Arial"/>
        </w:rPr>
        <w:t xml:space="preserve"> se presenta la relación del marco legal internacional identificado respecto a Economía Circular.</w:t>
      </w:r>
    </w:p>
    <w:p w14:paraId="41FBACC1" w14:textId="77777777" w:rsidR="00FF1961" w:rsidRPr="00AB1C80" w:rsidRDefault="00FF1961" w:rsidP="00AB1C80">
      <w:pPr>
        <w:spacing w:line="276" w:lineRule="auto"/>
        <w:rPr>
          <w:rFonts w:cs="Arial"/>
        </w:rPr>
        <w:sectPr w:rsidR="00FF1961" w:rsidRPr="00AB1C80">
          <w:pgSz w:w="12240" w:h="15840"/>
          <w:pgMar w:top="1418" w:right="1701" w:bottom="1418" w:left="1701" w:header="709" w:footer="709" w:gutter="0"/>
          <w:cols w:space="720"/>
        </w:sectPr>
      </w:pPr>
    </w:p>
    <w:p w14:paraId="46FC40A5" w14:textId="61F2D634" w:rsidR="00A85AC9" w:rsidRPr="00AB1C80" w:rsidRDefault="006B00F0" w:rsidP="00AB1C80">
      <w:pPr>
        <w:pStyle w:val="FigurayTabla"/>
        <w:spacing w:line="276" w:lineRule="auto"/>
        <w:rPr>
          <w:rFonts w:cs="Arial"/>
          <w:szCs w:val="24"/>
          <w:lang w:val="es-CO"/>
        </w:rPr>
      </w:pPr>
      <w:bookmarkStart w:id="134" w:name="_Ref86264344"/>
      <w:bookmarkStart w:id="135" w:name="_Toc86333037"/>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32</w:t>
      </w:r>
      <w:r w:rsidRPr="00AB1C80">
        <w:rPr>
          <w:rFonts w:cs="Arial"/>
          <w:lang w:val="es-CO"/>
        </w:rPr>
        <w:fldChar w:fldCharType="end"/>
      </w:r>
      <w:bookmarkEnd w:id="134"/>
      <w:r w:rsidRPr="00AB1C80">
        <w:rPr>
          <w:rFonts w:cs="Arial"/>
          <w:lang w:val="es-CO"/>
        </w:rPr>
        <w:t>. Relación del marco legal internacional sobre economía circular en minería.</w:t>
      </w:r>
      <w:bookmarkEnd w:id="135"/>
    </w:p>
    <w:tbl>
      <w:tblPr>
        <w:tblW w:w="12753" w:type="dxa"/>
        <w:jc w:val="center"/>
        <w:tblCellMar>
          <w:left w:w="70" w:type="dxa"/>
          <w:right w:w="70" w:type="dxa"/>
        </w:tblCellMar>
        <w:tblLook w:val="04A0" w:firstRow="1" w:lastRow="0" w:firstColumn="1" w:lastColumn="0" w:noHBand="0" w:noVBand="1"/>
      </w:tblPr>
      <w:tblGrid>
        <w:gridCol w:w="1286"/>
        <w:gridCol w:w="2111"/>
        <w:gridCol w:w="2552"/>
        <w:gridCol w:w="1662"/>
        <w:gridCol w:w="5142"/>
      </w:tblGrid>
      <w:tr w:rsidR="006B00F0" w:rsidRPr="00AB1C80" w14:paraId="56DE4B53" w14:textId="77777777" w:rsidTr="006B00F0">
        <w:trPr>
          <w:trHeight w:val="20"/>
          <w:tblHeader/>
          <w:jc w:val="center"/>
        </w:trPr>
        <w:tc>
          <w:tcPr>
            <w:tcW w:w="1286" w:type="dxa"/>
            <w:tcBorders>
              <w:top w:val="single" w:sz="4" w:space="0" w:color="auto"/>
              <w:left w:val="single" w:sz="4" w:space="0" w:color="auto"/>
              <w:bottom w:val="single" w:sz="4" w:space="0" w:color="auto"/>
              <w:right w:val="single" w:sz="4" w:space="0" w:color="auto"/>
            </w:tcBorders>
            <w:shd w:val="clear" w:color="000000" w:fill="1E345C"/>
            <w:vAlign w:val="center"/>
            <w:hideMark/>
          </w:tcPr>
          <w:p w14:paraId="3AF27B88" w14:textId="77777777" w:rsidR="006B00F0" w:rsidRPr="00AB1C80" w:rsidRDefault="006B00F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FFFFFF" w:themeColor="background1"/>
                <w:sz w:val="20"/>
                <w:szCs w:val="20"/>
                <w:lang w:eastAsia="es-CO"/>
              </w:rPr>
              <w:t>País</w:t>
            </w:r>
          </w:p>
        </w:tc>
        <w:tc>
          <w:tcPr>
            <w:tcW w:w="2111" w:type="dxa"/>
            <w:tcBorders>
              <w:top w:val="single" w:sz="4" w:space="0" w:color="auto"/>
              <w:left w:val="nil"/>
              <w:bottom w:val="single" w:sz="4" w:space="0" w:color="auto"/>
              <w:right w:val="single" w:sz="4" w:space="0" w:color="auto"/>
            </w:tcBorders>
            <w:shd w:val="clear" w:color="000000" w:fill="1E345C"/>
            <w:vAlign w:val="center"/>
            <w:hideMark/>
          </w:tcPr>
          <w:p w14:paraId="0379F5DD" w14:textId="77777777" w:rsidR="006B00F0" w:rsidRPr="00AB1C80" w:rsidRDefault="006B00F0" w:rsidP="00AB1C80">
            <w:pPr>
              <w:spacing w:line="276" w:lineRule="auto"/>
              <w:jc w:val="center"/>
              <w:rPr>
                <w:rFonts w:eastAsia="Times New Roman" w:cs="Arial"/>
                <w:b/>
                <w:bCs/>
                <w:color w:val="FFFFFF"/>
                <w:sz w:val="20"/>
                <w:szCs w:val="20"/>
                <w:lang w:eastAsia="es-CO"/>
              </w:rPr>
            </w:pPr>
            <w:r w:rsidRPr="00AB1C80">
              <w:rPr>
                <w:rFonts w:eastAsia="Times New Roman" w:cs="Arial"/>
                <w:b/>
                <w:bCs/>
                <w:sz w:val="20"/>
                <w:szCs w:val="20"/>
                <w:lang w:eastAsia="es-CO"/>
              </w:rPr>
              <w:t>Norma</w:t>
            </w:r>
          </w:p>
        </w:tc>
        <w:tc>
          <w:tcPr>
            <w:tcW w:w="2552" w:type="dxa"/>
            <w:tcBorders>
              <w:top w:val="single" w:sz="4" w:space="0" w:color="auto"/>
              <w:left w:val="nil"/>
              <w:bottom w:val="single" w:sz="4" w:space="0" w:color="auto"/>
              <w:right w:val="single" w:sz="4" w:space="0" w:color="auto"/>
            </w:tcBorders>
            <w:shd w:val="clear" w:color="000000" w:fill="1E345C"/>
            <w:vAlign w:val="center"/>
            <w:hideMark/>
          </w:tcPr>
          <w:p w14:paraId="78D9D083" w14:textId="77777777" w:rsidR="006B00F0" w:rsidRPr="00AB1C80" w:rsidRDefault="006B00F0" w:rsidP="00AB1C80">
            <w:pPr>
              <w:spacing w:line="276" w:lineRule="auto"/>
              <w:jc w:val="center"/>
              <w:rPr>
                <w:rFonts w:eastAsia="Times New Roman" w:cs="Arial"/>
                <w:b/>
                <w:bCs/>
                <w:color w:val="FFFFFF"/>
                <w:sz w:val="20"/>
                <w:szCs w:val="20"/>
                <w:lang w:eastAsia="es-CO"/>
              </w:rPr>
            </w:pPr>
            <w:r w:rsidRPr="00AB1C80">
              <w:rPr>
                <w:rFonts w:eastAsia="Times New Roman" w:cs="Arial"/>
                <w:b/>
                <w:bCs/>
                <w:sz w:val="20"/>
                <w:szCs w:val="20"/>
                <w:lang w:eastAsia="es-CO"/>
              </w:rPr>
              <w:t>Autor</w:t>
            </w:r>
          </w:p>
        </w:tc>
        <w:tc>
          <w:tcPr>
            <w:tcW w:w="1662" w:type="dxa"/>
            <w:tcBorders>
              <w:top w:val="single" w:sz="4" w:space="0" w:color="auto"/>
              <w:left w:val="nil"/>
              <w:bottom w:val="single" w:sz="4" w:space="0" w:color="auto"/>
              <w:right w:val="single" w:sz="4" w:space="0" w:color="auto"/>
            </w:tcBorders>
            <w:shd w:val="clear" w:color="000000" w:fill="1E345C"/>
            <w:vAlign w:val="center"/>
            <w:hideMark/>
          </w:tcPr>
          <w:p w14:paraId="57211864" w14:textId="77777777" w:rsidR="006B00F0" w:rsidRPr="00AB1C80" w:rsidRDefault="006B00F0" w:rsidP="00AB1C80">
            <w:pPr>
              <w:spacing w:line="276" w:lineRule="auto"/>
              <w:jc w:val="center"/>
              <w:rPr>
                <w:rFonts w:eastAsia="Times New Roman" w:cs="Arial"/>
                <w:b/>
                <w:bCs/>
                <w:color w:val="FFFFFF"/>
                <w:sz w:val="20"/>
                <w:szCs w:val="20"/>
                <w:lang w:eastAsia="es-CO"/>
              </w:rPr>
            </w:pPr>
            <w:r w:rsidRPr="00AB1C80">
              <w:rPr>
                <w:rFonts w:eastAsia="Times New Roman" w:cs="Arial"/>
                <w:b/>
                <w:bCs/>
                <w:sz w:val="20"/>
                <w:szCs w:val="20"/>
                <w:lang w:eastAsia="es-CO"/>
              </w:rPr>
              <w:t>Fecha de Expedición</w:t>
            </w:r>
          </w:p>
        </w:tc>
        <w:tc>
          <w:tcPr>
            <w:tcW w:w="5142" w:type="dxa"/>
            <w:tcBorders>
              <w:top w:val="single" w:sz="4" w:space="0" w:color="auto"/>
              <w:left w:val="nil"/>
              <w:bottom w:val="single" w:sz="4" w:space="0" w:color="auto"/>
              <w:right w:val="single" w:sz="4" w:space="0" w:color="auto"/>
            </w:tcBorders>
            <w:shd w:val="clear" w:color="000000" w:fill="1E345C"/>
            <w:vAlign w:val="center"/>
            <w:hideMark/>
          </w:tcPr>
          <w:p w14:paraId="2BB19643" w14:textId="77777777" w:rsidR="006B00F0" w:rsidRPr="00AB1C80" w:rsidRDefault="006B00F0" w:rsidP="00AB1C80">
            <w:pPr>
              <w:spacing w:line="276" w:lineRule="auto"/>
              <w:jc w:val="center"/>
              <w:rPr>
                <w:rFonts w:eastAsia="Times New Roman" w:cs="Arial"/>
                <w:b/>
                <w:bCs/>
                <w:color w:val="FFFFFF"/>
                <w:sz w:val="20"/>
                <w:szCs w:val="20"/>
                <w:lang w:eastAsia="es-CO"/>
              </w:rPr>
            </w:pPr>
            <w:r w:rsidRPr="00AB1C80">
              <w:rPr>
                <w:rFonts w:eastAsia="Times New Roman" w:cs="Arial"/>
                <w:b/>
                <w:bCs/>
                <w:sz w:val="20"/>
                <w:szCs w:val="20"/>
                <w:lang w:eastAsia="es-CO"/>
              </w:rPr>
              <w:t>Aspecto de interés abordado</w:t>
            </w:r>
          </w:p>
        </w:tc>
      </w:tr>
      <w:tr w:rsidR="006B00F0" w:rsidRPr="00AB1C80" w14:paraId="7D597056" w14:textId="77777777" w:rsidTr="006B00F0">
        <w:trPr>
          <w:trHeight w:val="20"/>
          <w:jc w:val="center"/>
        </w:trPr>
        <w:tc>
          <w:tcPr>
            <w:tcW w:w="12753" w:type="dxa"/>
            <w:gridSpan w:val="5"/>
            <w:tcBorders>
              <w:top w:val="single" w:sz="4" w:space="0" w:color="auto"/>
              <w:left w:val="single" w:sz="4" w:space="0" w:color="auto"/>
              <w:bottom w:val="single" w:sz="4" w:space="0" w:color="auto"/>
              <w:right w:val="single" w:sz="4" w:space="0" w:color="auto"/>
            </w:tcBorders>
            <w:shd w:val="clear" w:color="000000" w:fill="9BC2E6"/>
            <w:vAlign w:val="center"/>
            <w:hideMark/>
          </w:tcPr>
          <w:p w14:paraId="28FC97D4" w14:textId="77777777" w:rsidR="006B00F0" w:rsidRPr="00AB1C80" w:rsidRDefault="006B00F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America Latina</w:t>
            </w:r>
          </w:p>
        </w:tc>
      </w:tr>
      <w:tr w:rsidR="006B00F0" w:rsidRPr="00AB1C80" w14:paraId="69FAB296"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6B3788A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Argentina</w:t>
            </w:r>
          </w:p>
        </w:tc>
        <w:tc>
          <w:tcPr>
            <w:tcW w:w="2111" w:type="dxa"/>
            <w:tcBorders>
              <w:top w:val="nil"/>
              <w:left w:val="nil"/>
              <w:bottom w:val="single" w:sz="4" w:space="0" w:color="auto"/>
              <w:right w:val="single" w:sz="4" w:space="0" w:color="auto"/>
            </w:tcBorders>
            <w:shd w:val="clear" w:color="auto" w:fill="auto"/>
            <w:vAlign w:val="center"/>
            <w:hideMark/>
          </w:tcPr>
          <w:p w14:paraId="4C8260C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25.916 sobre Gestión de Residuos Domiciliarios</w:t>
            </w:r>
          </w:p>
        </w:tc>
        <w:tc>
          <w:tcPr>
            <w:tcW w:w="2552" w:type="dxa"/>
            <w:tcBorders>
              <w:top w:val="nil"/>
              <w:left w:val="nil"/>
              <w:bottom w:val="single" w:sz="4" w:space="0" w:color="auto"/>
              <w:right w:val="single" w:sz="4" w:space="0" w:color="auto"/>
            </w:tcBorders>
            <w:shd w:val="clear" w:color="auto" w:fill="auto"/>
            <w:vAlign w:val="center"/>
            <w:hideMark/>
          </w:tcPr>
          <w:p w14:paraId="40C7CB12"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Argentina</w:t>
            </w:r>
          </w:p>
        </w:tc>
        <w:tc>
          <w:tcPr>
            <w:tcW w:w="1662" w:type="dxa"/>
            <w:tcBorders>
              <w:top w:val="nil"/>
              <w:left w:val="nil"/>
              <w:bottom w:val="single" w:sz="4" w:space="0" w:color="auto"/>
              <w:right w:val="single" w:sz="4" w:space="0" w:color="auto"/>
            </w:tcBorders>
            <w:shd w:val="clear" w:color="auto" w:fill="auto"/>
            <w:vAlign w:val="center"/>
            <w:hideMark/>
          </w:tcPr>
          <w:p w14:paraId="4BC6596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2004</w:t>
            </w:r>
          </w:p>
        </w:tc>
        <w:tc>
          <w:tcPr>
            <w:tcW w:w="5142" w:type="dxa"/>
            <w:tcBorders>
              <w:top w:val="nil"/>
              <w:left w:val="nil"/>
              <w:bottom w:val="single" w:sz="4" w:space="0" w:color="auto"/>
              <w:right w:val="single" w:sz="4" w:space="0" w:color="auto"/>
            </w:tcBorders>
            <w:shd w:val="clear" w:color="auto" w:fill="auto"/>
            <w:vAlign w:val="center"/>
            <w:hideMark/>
          </w:tcPr>
          <w:p w14:paraId="136021BB"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Establece los presupuestos mínimos de protección ambiental para la gestión integral de residuos domiciliarios de cualquier origen.</w:t>
            </w:r>
          </w:p>
        </w:tc>
      </w:tr>
      <w:tr w:rsidR="006B00F0" w:rsidRPr="00AB1C80" w14:paraId="24EEE0A0"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1A2126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Argentina</w:t>
            </w:r>
          </w:p>
        </w:tc>
        <w:tc>
          <w:tcPr>
            <w:tcW w:w="2111" w:type="dxa"/>
            <w:tcBorders>
              <w:top w:val="nil"/>
              <w:left w:val="nil"/>
              <w:bottom w:val="single" w:sz="4" w:space="0" w:color="auto"/>
              <w:right w:val="single" w:sz="4" w:space="0" w:color="auto"/>
            </w:tcBorders>
            <w:shd w:val="clear" w:color="auto" w:fill="auto"/>
            <w:vAlign w:val="center"/>
            <w:hideMark/>
          </w:tcPr>
          <w:p w14:paraId="51A931E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27.279 sobre Gestión de Envases Vacíos de Fitosanitarios</w:t>
            </w:r>
          </w:p>
        </w:tc>
        <w:tc>
          <w:tcPr>
            <w:tcW w:w="2552" w:type="dxa"/>
            <w:tcBorders>
              <w:top w:val="nil"/>
              <w:left w:val="nil"/>
              <w:bottom w:val="single" w:sz="4" w:space="0" w:color="auto"/>
              <w:right w:val="single" w:sz="4" w:space="0" w:color="auto"/>
            </w:tcBorders>
            <w:shd w:val="clear" w:color="auto" w:fill="auto"/>
            <w:vAlign w:val="center"/>
            <w:hideMark/>
          </w:tcPr>
          <w:p w14:paraId="62EBD94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Argentina</w:t>
            </w:r>
          </w:p>
        </w:tc>
        <w:tc>
          <w:tcPr>
            <w:tcW w:w="1662" w:type="dxa"/>
            <w:tcBorders>
              <w:top w:val="nil"/>
              <w:left w:val="nil"/>
              <w:bottom w:val="single" w:sz="4" w:space="0" w:color="auto"/>
              <w:right w:val="single" w:sz="4" w:space="0" w:color="auto"/>
            </w:tcBorders>
            <w:shd w:val="clear" w:color="auto" w:fill="auto"/>
            <w:vAlign w:val="center"/>
            <w:hideMark/>
          </w:tcPr>
          <w:p w14:paraId="0CFC919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2004</w:t>
            </w:r>
          </w:p>
        </w:tc>
        <w:tc>
          <w:tcPr>
            <w:tcW w:w="5142" w:type="dxa"/>
            <w:tcBorders>
              <w:top w:val="nil"/>
              <w:left w:val="nil"/>
              <w:bottom w:val="single" w:sz="4" w:space="0" w:color="auto"/>
              <w:right w:val="single" w:sz="4" w:space="0" w:color="auto"/>
            </w:tcBorders>
            <w:shd w:val="clear" w:color="auto" w:fill="auto"/>
            <w:vAlign w:val="center"/>
            <w:hideMark/>
          </w:tcPr>
          <w:p w14:paraId="506A9BFC"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Establece los presupuestos mínimos de protección ambiental para la gestión diferenciada y condicionada que requieren según la toxicidad del producto que contuvieron.</w:t>
            </w:r>
          </w:p>
        </w:tc>
      </w:tr>
      <w:tr w:rsidR="006B00F0" w:rsidRPr="00AB1C80" w14:paraId="1EEDB5AB"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B2C17F0"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Argentina</w:t>
            </w:r>
          </w:p>
        </w:tc>
        <w:tc>
          <w:tcPr>
            <w:tcW w:w="2111" w:type="dxa"/>
            <w:tcBorders>
              <w:top w:val="nil"/>
              <w:left w:val="nil"/>
              <w:bottom w:val="single" w:sz="4" w:space="0" w:color="auto"/>
              <w:right w:val="single" w:sz="4" w:space="0" w:color="auto"/>
            </w:tcBorders>
            <w:shd w:val="clear" w:color="auto" w:fill="auto"/>
            <w:vAlign w:val="center"/>
            <w:hideMark/>
          </w:tcPr>
          <w:p w14:paraId="659F4CC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Estrategia Nacional de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2B5101B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Ambiente</w:t>
            </w:r>
          </w:p>
        </w:tc>
        <w:tc>
          <w:tcPr>
            <w:tcW w:w="1662" w:type="dxa"/>
            <w:tcBorders>
              <w:top w:val="nil"/>
              <w:left w:val="nil"/>
              <w:bottom w:val="single" w:sz="4" w:space="0" w:color="auto"/>
              <w:right w:val="single" w:sz="4" w:space="0" w:color="auto"/>
            </w:tcBorders>
            <w:shd w:val="clear" w:color="auto" w:fill="auto"/>
            <w:vAlign w:val="center"/>
            <w:hideMark/>
          </w:tcPr>
          <w:p w14:paraId="5DBB0B9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6BB87858"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El documento propone la reconstrucción y creación de las bases necesarias para la transición de una economía lineal a una circular en los próximos 20 años, a partir de un esfuerzo colaborativo de los distintos actores, incluyendo individuos comprometidos, Organizaciones No Gubernamentales, grupos sociales, Universidades y Empresas y con la finalidad de producir efectividad económica y mayor equidad.</w:t>
            </w:r>
          </w:p>
        </w:tc>
      </w:tr>
      <w:tr w:rsidR="006B00F0" w:rsidRPr="00AB1C80" w14:paraId="1FCC5849"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205F119A"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Bolivia</w:t>
            </w:r>
          </w:p>
        </w:tc>
        <w:tc>
          <w:tcPr>
            <w:tcW w:w="2111" w:type="dxa"/>
            <w:tcBorders>
              <w:top w:val="nil"/>
              <w:left w:val="nil"/>
              <w:bottom w:val="single" w:sz="4" w:space="0" w:color="auto"/>
              <w:right w:val="single" w:sz="4" w:space="0" w:color="auto"/>
            </w:tcBorders>
            <w:shd w:val="clear" w:color="auto" w:fill="auto"/>
            <w:vAlign w:val="center"/>
            <w:hideMark/>
          </w:tcPr>
          <w:p w14:paraId="7A33086C" w14:textId="6F6342F3"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755 Gestión Integral de residuos</w:t>
            </w:r>
          </w:p>
        </w:tc>
        <w:tc>
          <w:tcPr>
            <w:tcW w:w="2552" w:type="dxa"/>
            <w:tcBorders>
              <w:top w:val="nil"/>
              <w:left w:val="nil"/>
              <w:bottom w:val="single" w:sz="4" w:space="0" w:color="auto"/>
              <w:right w:val="single" w:sz="4" w:space="0" w:color="auto"/>
            </w:tcBorders>
            <w:shd w:val="clear" w:color="auto" w:fill="auto"/>
            <w:vAlign w:val="center"/>
            <w:hideMark/>
          </w:tcPr>
          <w:p w14:paraId="12D7226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Medio Ambiente y Agua</w:t>
            </w:r>
          </w:p>
        </w:tc>
        <w:tc>
          <w:tcPr>
            <w:tcW w:w="1662" w:type="dxa"/>
            <w:tcBorders>
              <w:top w:val="nil"/>
              <w:left w:val="nil"/>
              <w:bottom w:val="single" w:sz="4" w:space="0" w:color="auto"/>
              <w:right w:val="single" w:sz="4" w:space="0" w:color="auto"/>
            </w:tcBorders>
            <w:shd w:val="clear" w:color="auto" w:fill="auto"/>
            <w:vAlign w:val="center"/>
            <w:hideMark/>
          </w:tcPr>
          <w:p w14:paraId="624EA28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5142" w:type="dxa"/>
            <w:tcBorders>
              <w:top w:val="nil"/>
              <w:left w:val="nil"/>
              <w:bottom w:val="single" w:sz="4" w:space="0" w:color="auto"/>
              <w:right w:val="single" w:sz="4" w:space="0" w:color="auto"/>
            </w:tcBorders>
            <w:shd w:val="clear" w:color="auto" w:fill="auto"/>
            <w:vAlign w:val="center"/>
            <w:hideMark/>
          </w:tcPr>
          <w:p w14:paraId="7DBEE7B7"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La Ley 755 establece la política general y el régimen jurídico de la Gestión Integral de Residuos en Bolivia, prioriza la prevención para la reducir la generación de residuos, su aprovechamiento y disposición final sanitaria y ambientalmente segura, en el marco de los derechos de la Madre Tierra, así como el derecho a la salud y a vivir en un ambiente sano y equilibrado. </w:t>
            </w:r>
          </w:p>
        </w:tc>
      </w:tr>
      <w:tr w:rsidR="006B00F0" w:rsidRPr="00AB1C80" w14:paraId="65DC16C6"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D63A54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Brasil</w:t>
            </w:r>
          </w:p>
        </w:tc>
        <w:tc>
          <w:tcPr>
            <w:tcW w:w="2111" w:type="dxa"/>
            <w:tcBorders>
              <w:top w:val="nil"/>
              <w:left w:val="nil"/>
              <w:bottom w:val="single" w:sz="4" w:space="0" w:color="auto"/>
              <w:right w:val="single" w:sz="4" w:space="0" w:color="auto"/>
            </w:tcBorders>
            <w:shd w:val="clear" w:color="auto" w:fill="auto"/>
            <w:vAlign w:val="center"/>
            <w:hideMark/>
          </w:tcPr>
          <w:p w14:paraId="72C8C74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Política de Residuos Sólidos </w:t>
            </w:r>
          </w:p>
        </w:tc>
        <w:tc>
          <w:tcPr>
            <w:tcW w:w="2552" w:type="dxa"/>
            <w:tcBorders>
              <w:top w:val="nil"/>
              <w:left w:val="nil"/>
              <w:bottom w:val="single" w:sz="4" w:space="0" w:color="auto"/>
              <w:right w:val="single" w:sz="4" w:space="0" w:color="auto"/>
            </w:tcBorders>
            <w:shd w:val="clear" w:color="auto" w:fill="auto"/>
            <w:vAlign w:val="center"/>
            <w:hideMark/>
          </w:tcPr>
          <w:p w14:paraId="1B9195A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Ministerio de Medio Ambiente </w:t>
            </w:r>
          </w:p>
        </w:tc>
        <w:tc>
          <w:tcPr>
            <w:tcW w:w="1662" w:type="dxa"/>
            <w:tcBorders>
              <w:top w:val="nil"/>
              <w:left w:val="nil"/>
              <w:bottom w:val="single" w:sz="4" w:space="0" w:color="auto"/>
              <w:right w:val="single" w:sz="4" w:space="0" w:color="auto"/>
            </w:tcBorders>
            <w:shd w:val="clear" w:color="auto" w:fill="auto"/>
            <w:vAlign w:val="center"/>
            <w:hideMark/>
          </w:tcPr>
          <w:p w14:paraId="3B28188A"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2010</w:t>
            </w:r>
          </w:p>
        </w:tc>
        <w:tc>
          <w:tcPr>
            <w:tcW w:w="5142" w:type="dxa"/>
            <w:tcBorders>
              <w:top w:val="nil"/>
              <w:left w:val="nil"/>
              <w:bottom w:val="single" w:sz="4" w:space="0" w:color="auto"/>
              <w:right w:val="single" w:sz="4" w:space="0" w:color="auto"/>
            </w:tcBorders>
            <w:shd w:val="clear" w:color="auto" w:fill="auto"/>
            <w:vAlign w:val="center"/>
            <w:hideMark/>
          </w:tcPr>
          <w:p w14:paraId="0C42484B" w14:textId="7FC8C90C"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La legislación estableció metas y objetivos para las personas y empresas relacionados con el manejo de residuos, con los siguientes propósitos: adecuación de la gestión de residuos a las leyes y regulaciones existentes, la preservación del medio ambiente mediante la </w:t>
            </w:r>
            <w:r w:rsidRPr="00AB1C80">
              <w:rPr>
                <w:rFonts w:eastAsia="Times New Roman" w:cs="Arial"/>
                <w:color w:val="000000"/>
                <w:sz w:val="20"/>
                <w:szCs w:val="20"/>
                <w:lang w:eastAsia="es-CO"/>
              </w:rPr>
              <w:lastRenderedPageBreak/>
              <w:t>reducción del uso de rellenos sanitarios y la logística inversa de los residuos posconsumo.</w:t>
            </w:r>
          </w:p>
        </w:tc>
      </w:tr>
      <w:tr w:rsidR="006B00F0" w:rsidRPr="00AB1C80" w14:paraId="366C1E3E"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4762863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Canadá</w:t>
            </w:r>
          </w:p>
        </w:tc>
        <w:tc>
          <w:tcPr>
            <w:tcW w:w="2111" w:type="dxa"/>
            <w:tcBorders>
              <w:top w:val="nil"/>
              <w:left w:val="nil"/>
              <w:bottom w:val="single" w:sz="4" w:space="0" w:color="auto"/>
              <w:right w:val="single" w:sz="4" w:space="0" w:color="auto"/>
            </w:tcBorders>
            <w:shd w:val="clear" w:color="auto" w:fill="auto"/>
            <w:vAlign w:val="center"/>
            <w:hideMark/>
          </w:tcPr>
          <w:p w14:paraId="29C4C9F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Plan Canadiense de Minerales y Metales</w:t>
            </w:r>
          </w:p>
        </w:tc>
        <w:tc>
          <w:tcPr>
            <w:tcW w:w="2552" w:type="dxa"/>
            <w:tcBorders>
              <w:top w:val="nil"/>
              <w:left w:val="nil"/>
              <w:bottom w:val="single" w:sz="4" w:space="0" w:color="auto"/>
              <w:right w:val="single" w:sz="4" w:space="0" w:color="auto"/>
            </w:tcBorders>
            <w:shd w:val="clear" w:color="auto" w:fill="auto"/>
            <w:vAlign w:val="center"/>
            <w:hideMark/>
          </w:tcPr>
          <w:p w14:paraId="7D8519F0"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Canadá</w:t>
            </w:r>
          </w:p>
        </w:tc>
        <w:tc>
          <w:tcPr>
            <w:tcW w:w="1662" w:type="dxa"/>
            <w:tcBorders>
              <w:top w:val="nil"/>
              <w:left w:val="nil"/>
              <w:bottom w:val="single" w:sz="4" w:space="0" w:color="auto"/>
              <w:right w:val="single" w:sz="4" w:space="0" w:color="auto"/>
            </w:tcBorders>
            <w:shd w:val="clear" w:color="auto" w:fill="auto"/>
            <w:vAlign w:val="center"/>
            <w:hideMark/>
          </w:tcPr>
          <w:p w14:paraId="76410D2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38A1E8C8"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Identifica tres objetivos principales para el sector minero: 1. Reducción continua de la huella ambiental; 2. Economía circular en la que los desechos mineros se transforman en productos útiles, con una adecuada planificación del cierre de la mina y recuperación ambiental de sitios mineros y 3. Planificación sistémica de la adaptación al cambio climático.</w:t>
            </w:r>
          </w:p>
        </w:tc>
      </w:tr>
      <w:tr w:rsidR="006B00F0" w:rsidRPr="00AB1C80" w14:paraId="573DA693"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6CD1055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Canadá</w:t>
            </w:r>
          </w:p>
        </w:tc>
        <w:tc>
          <w:tcPr>
            <w:tcW w:w="2111" w:type="dxa"/>
            <w:tcBorders>
              <w:top w:val="nil"/>
              <w:left w:val="nil"/>
              <w:bottom w:val="single" w:sz="4" w:space="0" w:color="auto"/>
              <w:right w:val="single" w:sz="4" w:space="0" w:color="auto"/>
            </w:tcBorders>
            <w:shd w:val="clear" w:color="auto" w:fill="auto"/>
            <w:vAlign w:val="center"/>
            <w:hideMark/>
          </w:tcPr>
          <w:p w14:paraId="29C6CC20"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Iniciativa de Minería Verde</w:t>
            </w:r>
          </w:p>
        </w:tc>
        <w:tc>
          <w:tcPr>
            <w:tcW w:w="2552" w:type="dxa"/>
            <w:tcBorders>
              <w:top w:val="nil"/>
              <w:left w:val="nil"/>
              <w:bottom w:val="single" w:sz="4" w:space="0" w:color="auto"/>
              <w:right w:val="single" w:sz="4" w:space="0" w:color="auto"/>
            </w:tcBorders>
            <w:shd w:val="clear" w:color="auto" w:fill="auto"/>
            <w:vAlign w:val="center"/>
            <w:hideMark/>
          </w:tcPr>
          <w:p w14:paraId="4A91A24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Canadá</w:t>
            </w:r>
          </w:p>
        </w:tc>
        <w:tc>
          <w:tcPr>
            <w:tcW w:w="1662" w:type="dxa"/>
            <w:tcBorders>
              <w:top w:val="nil"/>
              <w:left w:val="nil"/>
              <w:bottom w:val="single" w:sz="4" w:space="0" w:color="auto"/>
              <w:right w:val="single" w:sz="4" w:space="0" w:color="auto"/>
            </w:tcBorders>
            <w:shd w:val="clear" w:color="auto" w:fill="auto"/>
            <w:vAlign w:val="center"/>
            <w:hideMark/>
          </w:tcPr>
          <w:p w14:paraId="500BF9B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2016</w:t>
            </w:r>
          </w:p>
        </w:tc>
        <w:tc>
          <w:tcPr>
            <w:tcW w:w="5142" w:type="dxa"/>
            <w:tcBorders>
              <w:top w:val="nil"/>
              <w:left w:val="nil"/>
              <w:bottom w:val="single" w:sz="4" w:space="0" w:color="auto"/>
              <w:right w:val="single" w:sz="4" w:space="0" w:color="auto"/>
            </w:tcBorders>
            <w:shd w:val="clear" w:color="auto" w:fill="auto"/>
            <w:vAlign w:val="center"/>
            <w:hideMark/>
          </w:tcPr>
          <w:p w14:paraId="76773BCA"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Establece como objetivos generales para desarrollar la Minería Verde, 1. Reducción de impactos ambientales de la minería y 2. Mejorar la competitividad de la industria minera.</w:t>
            </w:r>
          </w:p>
        </w:tc>
      </w:tr>
      <w:tr w:rsidR="006B00F0" w:rsidRPr="00AB1C80" w14:paraId="4DFCF6E1"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32C285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Chile</w:t>
            </w:r>
          </w:p>
        </w:tc>
        <w:tc>
          <w:tcPr>
            <w:tcW w:w="2111" w:type="dxa"/>
            <w:tcBorders>
              <w:top w:val="nil"/>
              <w:left w:val="nil"/>
              <w:bottom w:val="single" w:sz="4" w:space="0" w:color="auto"/>
              <w:right w:val="single" w:sz="4" w:space="0" w:color="auto"/>
            </w:tcBorders>
            <w:shd w:val="clear" w:color="auto" w:fill="auto"/>
            <w:vAlign w:val="center"/>
            <w:hideMark/>
          </w:tcPr>
          <w:p w14:paraId="0014BB1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Hoja de ruta sobre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365A5CC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Medio Ambiente</w:t>
            </w:r>
          </w:p>
        </w:tc>
        <w:tc>
          <w:tcPr>
            <w:tcW w:w="1662" w:type="dxa"/>
            <w:tcBorders>
              <w:top w:val="nil"/>
              <w:left w:val="nil"/>
              <w:bottom w:val="single" w:sz="4" w:space="0" w:color="auto"/>
              <w:right w:val="single" w:sz="4" w:space="0" w:color="auto"/>
            </w:tcBorders>
            <w:shd w:val="clear" w:color="auto" w:fill="auto"/>
            <w:vAlign w:val="center"/>
            <w:hideMark/>
          </w:tcPr>
          <w:p w14:paraId="43A584E6"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3FE84DC9"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visión de la hoja de ruta es que, al año 2040, la economía circular regenerativa impulse a Chile hacia un desarrollo sostenible, justo y participativo que ponga el bienestar de las personas al centro; esto, a través del cuidado de la naturaleza y sus seres vivos, la gestión responsable y eficiente de los recursos naturales, y una sociedad que usa, consume y produce de manera sostenible y consciente, fomentando la creación de empleos verdes y oportunidades para personas y organizaciones a lo largo del país.</w:t>
            </w:r>
          </w:p>
        </w:tc>
      </w:tr>
      <w:tr w:rsidR="006B00F0" w:rsidRPr="00AB1C80" w14:paraId="6A0CFAD6"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C97EDE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China</w:t>
            </w:r>
          </w:p>
        </w:tc>
        <w:tc>
          <w:tcPr>
            <w:tcW w:w="2111" w:type="dxa"/>
            <w:tcBorders>
              <w:top w:val="nil"/>
              <w:left w:val="nil"/>
              <w:bottom w:val="single" w:sz="4" w:space="0" w:color="auto"/>
              <w:right w:val="single" w:sz="4" w:space="0" w:color="auto"/>
            </w:tcBorders>
            <w:shd w:val="clear" w:color="auto" w:fill="auto"/>
            <w:vAlign w:val="center"/>
            <w:hideMark/>
          </w:tcPr>
          <w:p w14:paraId="6B8F954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de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7E5ED27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China</w:t>
            </w:r>
          </w:p>
        </w:tc>
        <w:tc>
          <w:tcPr>
            <w:tcW w:w="1662" w:type="dxa"/>
            <w:tcBorders>
              <w:top w:val="nil"/>
              <w:left w:val="nil"/>
              <w:bottom w:val="single" w:sz="4" w:space="0" w:color="auto"/>
              <w:right w:val="single" w:sz="4" w:space="0" w:color="auto"/>
            </w:tcBorders>
            <w:shd w:val="clear" w:color="auto" w:fill="auto"/>
            <w:vAlign w:val="center"/>
            <w:hideMark/>
          </w:tcPr>
          <w:p w14:paraId="16BDA51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2007</w:t>
            </w:r>
          </w:p>
        </w:tc>
        <w:tc>
          <w:tcPr>
            <w:tcW w:w="5142" w:type="dxa"/>
            <w:tcBorders>
              <w:top w:val="nil"/>
              <w:left w:val="nil"/>
              <w:bottom w:val="single" w:sz="4" w:space="0" w:color="auto"/>
              <w:right w:val="single" w:sz="4" w:space="0" w:color="auto"/>
            </w:tcBorders>
            <w:shd w:val="clear" w:color="auto" w:fill="auto"/>
            <w:vAlign w:val="center"/>
            <w:hideMark/>
          </w:tcPr>
          <w:p w14:paraId="0473D05C"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Se refuerzan y amplían los principios básicos de “reducir, reutilizar y reciclar” ya puestos de manifiesto en leyes ambientales chinas anteriores, como la Ley de Conservación de Energía, la Ley de Aguas o la Ley de Producción Limpia. Pero, a diferencia de estas leyes, la Ley de Economía Circular se centra exclusivamente en </w:t>
            </w:r>
            <w:r w:rsidRPr="00AB1C80">
              <w:rPr>
                <w:rFonts w:eastAsia="Times New Roman" w:cs="Arial"/>
                <w:color w:val="000000"/>
                <w:sz w:val="20"/>
                <w:szCs w:val="20"/>
                <w:lang w:eastAsia="es-CO"/>
              </w:rPr>
              <w:lastRenderedPageBreak/>
              <w:t>estos principios, dotándoles por primera vez de una definición detallada y desarrollándolos uno a uno.</w:t>
            </w:r>
          </w:p>
        </w:tc>
      </w:tr>
      <w:tr w:rsidR="006B00F0" w:rsidRPr="00AB1C80" w14:paraId="3E89457C"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0EFFE466"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Costa Rica</w:t>
            </w:r>
          </w:p>
        </w:tc>
        <w:tc>
          <w:tcPr>
            <w:tcW w:w="2111" w:type="dxa"/>
            <w:tcBorders>
              <w:top w:val="nil"/>
              <w:left w:val="nil"/>
              <w:bottom w:val="single" w:sz="4" w:space="0" w:color="auto"/>
              <w:right w:val="single" w:sz="4" w:space="0" w:color="auto"/>
            </w:tcBorders>
            <w:shd w:val="clear" w:color="auto" w:fill="auto"/>
            <w:vAlign w:val="center"/>
            <w:hideMark/>
          </w:tcPr>
          <w:p w14:paraId="09E9CBD0"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Política nacional de Producción y Consumo sostenibles 2018–30</w:t>
            </w:r>
          </w:p>
        </w:tc>
        <w:tc>
          <w:tcPr>
            <w:tcW w:w="2552" w:type="dxa"/>
            <w:tcBorders>
              <w:top w:val="nil"/>
              <w:left w:val="nil"/>
              <w:bottom w:val="single" w:sz="4" w:space="0" w:color="auto"/>
              <w:right w:val="single" w:sz="4" w:space="0" w:color="auto"/>
            </w:tcBorders>
            <w:shd w:val="clear" w:color="auto" w:fill="auto"/>
            <w:vAlign w:val="center"/>
            <w:hideMark/>
          </w:tcPr>
          <w:p w14:paraId="693CAB3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Planificación y Política Económica (MIDEPLAN), el Ministerio de Ambiente y Energía (MINAE) y el Ministerio de Relaciones Exteriores y Culto (MREC)</w:t>
            </w:r>
          </w:p>
        </w:tc>
        <w:tc>
          <w:tcPr>
            <w:tcW w:w="1662" w:type="dxa"/>
            <w:tcBorders>
              <w:top w:val="nil"/>
              <w:left w:val="nil"/>
              <w:bottom w:val="single" w:sz="4" w:space="0" w:color="auto"/>
              <w:right w:val="single" w:sz="4" w:space="0" w:color="auto"/>
            </w:tcBorders>
            <w:shd w:val="clear" w:color="auto" w:fill="auto"/>
            <w:vAlign w:val="center"/>
            <w:hideMark/>
          </w:tcPr>
          <w:p w14:paraId="5781A08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2018</w:t>
            </w:r>
          </w:p>
        </w:tc>
        <w:tc>
          <w:tcPr>
            <w:tcW w:w="5142" w:type="dxa"/>
            <w:tcBorders>
              <w:top w:val="nil"/>
              <w:left w:val="nil"/>
              <w:bottom w:val="single" w:sz="4" w:space="0" w:color="auto"/>
              <w:right w:val="single" w:sz="4" w:space="0" w:color="auto"/>
            </w:tcBorders>
            <w:shd w:val="clear" w:color="auto" w:fill="auto"/>
            <w:vAlign w:val="center"/>
            <w:hideMark/>
          </w:tcPr>
          <w:p w14:paraId="22F8D17C"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Esta política tiene por objetivo adoptar gradualmente patrones de producción y consumo sostenibles que contribuyan al bienestar de la población en general y de las generaciones futuras, mediante la articulación de los instrumentos de planificación nacional en un marco de coordinación interinstitucional e intersectorial.</w:t>
            </w:r>
          </w:p>
        </w:tc>
      </w:tr>
      <w:tr w:rsidR="006B00F0" w:rsidRPr="00AB1C80" w14:paraId="4198033B"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333B6BC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Cuba</w:t>
            </w:r>
          </w:p>
        </w:tc>
        <w:tc>
          <w:tcPr>
            <w:tcW w:w="2111" w:type="dxa"/>
            <w:tcBorders>
              <w:top w:val="nil"/>
              <w:left w:val="nil"/>
              <w:bottom w:val="single" w:sz="4" w:space="0" w:color="auto"/>
              <w:right w:val="single" w:sz="4" w:space="0" w:color="auto"/>
            </w:tcBorders>
            <w:shd w:val="clear" w:color="auto" w:fill="auto"/>
            <w:vAlign w:val="center"/>
            <w:hideMark/>
          </w:tcPr>
          <w:p w14:paraId="09A39BC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Política para incrementar el Reciclaje de materias primas</w:t>
            </w:r>
          </w:p>
        </w:tc>
        <w:tc>
          <w:tcPr>
            <w:tcW w:w="2552" w:type="dxa"/>
            <w:tcBorders>
              <w:top w:val="nil"/>
              <w:left w:val="nil"/>
              <w:bottom w:val="single" w:sz="4" w:space="0" w:color="auto"/>
              <w:right w:val="single" w:sz="4" w:space="0" w:color="auto"/>
            </w:tcBorders>
            <w:shd w:val="clear" w:color="auto" w:fill="auto"/>
            <w:vAlign w:val="center"/>
            <w:hideMark/>
          </w:tcPr>
          <w:p w14:paraId="649CB26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Cuba</w:t>
            </w:r>
          </w:p>
        </w:tc>
        <w:tc>
          <w:tcPr>
            <w:tcW w:w="1662" w:type="dxa"/>
            <w:tcBorders>
              <w:top w:val="nil"/>
              <w:left w:val="nil"/>
              <w:bottom w:val="single" w:sz="4" w:space="0" w:color="auto"/>
              <w:right w:val="single" w:sz="4" w:space="0" w:color="auto"/>
            </w:tcBorders>
            <w:shd w:val="clear" w:color="auto" w:fill="auto"/>
            <w:vAlign w:val="center"/>
            <w:hideMark/>
          </w:tcPr>
          <w:p w14:paraId="6A751CB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2012</w:t>
            </w:r>
          </w:p>
        </w:tc>
        <w:tc>
          <w:tcPr>
            <w:tcW w:w="5142" w:type="dxa"/>
            <w:tcBorders>
              <w:top w:val="nil"/>
              <w:left w:val="nil"/>
              <w:bottom w:val="single" w:sz="4" w:space="0" w:color="auto"/>
              <w:right w:val="single" w:sz="4" w:space="0" w:color="auto"/>
            </w:tcBorders>
            <w:shd w:val="clear" w:color="auto" w:fill="auto"/>
            <w:vAlign w:val="center"/>
            <w:hideMark/>
          </w:tcPr>
          <w:p w14:paraId="29DA9522" w14:textId="40CF8049"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La Política de Reciclaje de la República de Cuba, estableció un cronograma de 15 tareas a ejecutar en el período 2013 – 2016 y con principios generales como los que se definen: Reciclaje como mejor opción para disponer de desechos, Incrementar valor agregado de desechos reciclables, Reciclar todo aquello que sea: ambientalmente eficiente, tecnológicamente viable y económicamente factible, Promover su intensificación con incentivos económicos y nuevos modelos de gestión; Organización y clasificación adecuadas de desechos reciclables en origen; Optimizar su industrialización; El reciclaje se </w:t>
            </w:r>
            <w:r w:rsidR="00A54D0A" w:rsidRPr="00AB1C80">
              <w:rPr>
                <w:rFonts w:eastAsia="Times New Roman" w:cs="Arial"/>
                <w:color w:val="000000"/>
                <w:sz w:val="20"/>
                <w:szCs w:val="20"/>
                <w:lang w:eastAsia="es-CO"/>
              </w:rPr>
              <w:t>auto sustenta</w:t>
            </w:r>
            <w:r w:rsidRPr="00AB1C80">
              <w:rPr>
                <w:rFonts w:eastAsia="Times New Roman" w:cs="Arial"/>
                <w:color w:val="000000"/>
                <w:sz w:val="20"/>
                <w:szCs w:val="20"/>
                <w:lang w:eastAsia="es-CO"/>
              </w:rPr>
              <w:t xml:space="preserve"> económicamente.</w:t>
            </w:r>
          </w:p>
        </w:tc>
      </w:tr>
      <w:tr w:rsidR="006B00F0" w:rsidRPr="00AB1C80" w14:paraId="3F75D735"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FC0CC0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Ecuador</w:t>
            </w:r>
          </w:p>
        </w:tc>
        <w:tc>
          <w:tcPr>
            <w:tcW w:w="2111" w:type="dxa"/>
            <w:tcBorders>
              <w:top w:val="nil"/>
              <w:left w:val="nil"/>
              <w:bottom w:val="single" w:sz="4" w:space="0" w:color="auto"/>
              <w:right w:val="single" w:sz="4" w:space="0" w:color="auto"/>
            </w:tcBorders>
            <w:shd w:val="clear" w:color="auto" w:fill="auto"/>
            <w:vAlign w:val="center"/>
            <w:hideMark/>
          </w:tcPr>
          <w:p w14:paraId="225FB0A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Pacto por la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4C08285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Ecuador</w:t>
            </w:r>
          </w:p>
        </w:tc>
        <w:tc>
          <w:tcPr>
            <w:tcW w:w="1662" w:type="dxa"/>
            <w:tcBorders>
              <w:top w:val="nil"/>
              <w:left w:val="nil"/>
              <w:bottom w:val="single" w:sz="4" w:space="0" w:color="auto"/>
              <w:right w:val="single" w:sz="4" w:space="0" w:color="auto"/>
            </w:tcBorders>
            <w:shd w:val="clear" w:color="auto" w:fill="auto"/>
            <w:vAlign w:val="center"/>
            <w:hideMark/>
          </w:tcPr>
          <w:p w14:paraId="70017F1A"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04760A4D"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El pacto se suscribió entre el Gobierno nacional y 161 representantes de los sectores productivos, organizaciones sociales y de la academia, y estableció como metas la industrialización de residuos, la eficiencia en el consumo de materiales y el consumo energético en los procesos productivos, el uso de energías renovables, la inclusión de recicladores de base, y la generación de modelos de negocios sustentables.</w:t>
            </w:r>
          </w:p>
        </w:tc>
      </w:tr>
      <w:tr w:rsidR="006B00F0" w:rsidRPr="00AB1C80" w14:paraId="7BB7B97C"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26CDDEA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El Salvador</w:t>
            </w:r>
          </w:p>
        </w:tc>
        <w:tc>
          <w:tcPr>
            <w:tcW w:w="2111" w:type="dxa"/>
            <w:tcBorders>
              <w:top w:val="nil"/>
              <w:left w:val="nil"/>
              <w:bottom w:val="single" w:sz="4" w:space="0" w:color="auto"/>
              <w:right w:val="single" w:sz="4" w:space="0" w:color="auto"/>
            </w:tcBorders>
            <w:shd w:val="clear" w:color="auto" w:fill="auto"/>
            <w:vAlign w:val="center"/>
            <w:hideMark/>
          </w:tcPr>
          <w:p w14:paraId="42E46532" w14:textId="6040F4DD"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Ley de Gestión Integral de Residuos y fomento al reciclaje- Decreto </w:t>
            </w:r>
            <w:r w:rsidR="00A54D0A" w:rsidRPr="00AB1C80">
              <w:rPr>
                <w:rFonts w:eastAsia="Times New Roman" w:cs="Arial"/>
                <w:color w:val="000000"/>
                <w:sz w:val="20"/>
                <w:szCs w:val="20"/>
                <w:lang w:eastAsia="es-CO"/>
              </w:rPr>
              <w:t>N.º</w:t>
            </w:r>
            <w:r w:rsidRPr="00AB1C80">
              <w:rPr>
                <w:rFonts w:eastAsia="Times New Roman" w:cs="Arial"/>
                <w:color w:val="000000"/>
                <w:sz w:val="20"/>
                <w:szCs w:val="20"/>
                <w:lang w:eastAsia="es-CO"/>
              </w:rPr>
              <w:t xml:space="preserve"> 527</w:t>
            </w:r>
          </w:p>
        </w:tc>
        <w:tc>
          <w:tcPr>
            <w:tcW w:w="2552" w:type="dxa"/>
            <w:tcBorders>
              <w:top w:val="nil"/>
              <w:left w:val="nil"/>
              <w:bottom w:val="single" w:sz="4" w:space="0" w:color="auto"/>
              <w:right w:val="single" w:sz="4" w:space="0" w:color="auto"/>
            </w:tcBorders>
            <w:shd w:val="clear" w:color="auto" w:fill="auto"/>
            <w:vAlign w:val="center"/>
            <w:hideMark/>
          </w:tcPr>
          <w:p w14:paraId="4F0AFA8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Medio Ambiente y Recursos Naturales</w:t>
            </w:r>
          </w:p>
        </w:tc>
        <w:tc>
          <w:tcPr>
            <w:tcW w:w="1662" w:type="dxa"/>
            <w:tcBorders>
              <w:top w:val="nil"/>
              <w:left w:val="nil"/>
              <w:bottom w:val="single" w:sz="4" w:space="0" w:color="auto"/>
              <w:right w:val="single" w:sz="4" w:space="0" w:color="auto"/>
            </w:tcBorders>
            <w:shd w:val="clear" w:color="auto" w:fill="auto"/>
            <w:vAlign w:val="center"/>
            <w:hideMark/>
          </w:tcPr>
          <w:p w14:paraId="733A75F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5142" w:type="dxa"/>
            <w:tcBorders>
              <w:top w:val="nil"/>
              <w:left w:val="nil"/>
              <w:bottom w:val="single" w:sz="4" w:space="0" w:color="auto"/>
              <w:right w:val="single" w:sz="4" w:space="0" w:color="auto"/>
            </w:tcBorders>
            <w:shd w:val="clear" w:color="auto" w:fill="auto"/>
            <w:vAlign w:val="center"/>
            <w:hideMark/>
          </w:tcPr>
          <w:p w14:paraId="24CD86C3"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Tiene por objeto lograr el aprovechamiento y disposición final sanitaria y ambientalmente segura de los residuos, a fin de proteger la salud de las personas, el medio ambiente y fomentar una economía circular, a través del establecimiento de una visión sistémica en la gestión integral de los residuos, la determinación de los actores y su forma de interacción, y la asignación de responsabilidades para lograr cambios conductuales en la población.</w:t>
            </w:r>
          </w:p>
        </w:tc>
      </w:tr>
      <w:tr w:rsidR="006B00F0" w:rsidRPr="00AB1C80" w14:paraId="11BEACEF"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253B14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Guatemala </w:t>
            </w:r>
          </w:p>
        </w:tc>
        <w:tc>
          <w:tcPr>
            <w:tcW w:w="2111" w:type="dxa"/>
            <w:tcBorders>
              <w:top w:val="nil"/>
              <w:left w:val="nil"/>
              <w:bottom w:val="single" w:sz="4" w:space="0" w:color="auto"/>
              <w:right w:val="single" w:sz="4" w:space="0" w:color="auto"/>
            </w:tcBorders>
            <w:shd w:val="clear" w:color="auto" w:fill="auto"/>
            <w:vAlign w:val="center"/>
            <w:hideMark/>
          </w:tcPr>
          <w:p w14:paraId="6FC59622"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Política Nacional para la gestión Integral de residuos y desechos sólidos</w:t>
            </w:r>
          </w:p>
        </w:tc>
        <w:tc>
          <w:tcPr>
            <w:tcW w:w="2552" w:type="dxa"/>
            <w:tcBorders>
              <w:top w:val="nil"/>
              <w:left w:val="nil"/>
              <w:bottom w:val="single" w:sz="4" w:space="0" w:color="auto"/>
              <w:right w:val="single" w:sz="4" w:space="0" w:color="auto"/>
            </w:tcBorders>
            <w:shd w:val="clear" w:color="auto" w:fill="auto"/>
            <w:vAlign w:val="center"/>
            <w:hideMark/>
          </w:tcPr>
          <w:p w14:paraId="0A1D9B4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Ambiente y Recursos Naturales</w:t>
            </w:r>
          </w:p>
        </w:tc>
        <w:tc>
          <w:tcPr>
            <w:tcW w:w="1662" w:type="dxa"/>
            <w:tcBorders>
              <w:top w:val="nil"/>
              <w:left w:val="nil"/>
              <w:bottom w:val="single" w:sz="4" w:space="0" w:color="auto"/>
              <w:right w:val="single" w:sz="4" w:space="0" w:color="auto"/>
            </w:tcBorders>
            <w:shd w:val="clear" w:color="auto" w:fill="auto"/>
            <w:vAlign w:val="center"/>
            <w:hideMark/>
          </w:tcPr>
          <w:p w14:paraId="2CDAAF4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5142" w:type="dxa"/>
            <w:tcBorders>
              <w:top w:val="nil"/>
              <w:left w:val="nil"/>
              <w:bottom w:val="single" w:sz="4" w:space="0" w:color="auto"/>
              <w:right w:val="single" w:sz="4" w:space="0" w:color="auto"/>
            </w:tcBorders>
            <w:shd w:val="clear" w:color="auto" w:fill="auto"/>
            <w:vAlign w:val="center"/>
            <w:hideMark/>
          </w:tcPr>
          <w:p w14:paraId="5C826738"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Política Nacional para la Gestión Integral de los Residuos y Desechos Sólidos tiene como propósito fundamental establecer a través de programas y líneas de política, acciones para minimizar de la manera más eficiente, los riesgos a los seres humanos y al ambiente, en especial la reducción de la cantidad o peligrosidad de los desechos sólidos que llegan a los sitios de disposición final a través de una gestión integral que contribuya al bienestar del ambiente y la salud.</w:t>
            </w:r>
          </w:p>
        </w:tc>
      </w:tr>
      <w:tr w:rsidR="006B00F0" w:rsidRPr="00AB1C80" w14:paraId="3463256E"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AFCFB4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Honduras</w:t>
            </w:r>
          </w:p>
        </w:tc>
        <w:tc>
          <w:tcPr>
            <w:tcW w:w="2111" w:type="dxa"/>
            <w:tcBorders>
              <w:top w:val="nil"/>
              <w:left w:val="nil"/>
              <w:bottom w:val="single" w:sz="4" w:space="0" w:color="auto"/>
              <w:right w:val="single" w:sz="4" w:space="0" w:color="auto"/>
            </w:tcBorders>
            <w:shd w:val="clear" w:color="auto" w:fill="auto"/>
            <w:vAlign w:val="center"/>
            <w:hideMark/>
          </w:tcPr>
          <w:p w14:paraId="3640C44F" w14:textId="6C010D4D"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Reglamento para el manejo integral de </w:t>
            </w:r>
            <w:r w:rsidR="00FF1961" w:rsidRPr="00AB1C80">
              <w:rPr>
                <w:rFonts w:eastAsia="Times New Roman" w:cs="Arial"/>
                <w:color w:val="000000"/>
                <w:sz w:val="20"/>
                <w:szCs w:val="20"/>
                <w:lang w:eastAsia="es-CO"/>
              </w:rPr>
              <w:t>residuos</w:t>
            </w:r>
            <w:r w:rsidRPr="00AB1C80">
              <w:rPr>
                <w:rFonts w:eastAsia="Times New Roman" w:cs="Arial"/>
                <w:color w:val="000000"/>
                <w:sz w:val="20"/>
                <w:szCs w:val="20"/>
                <w:lang w:eastAsia="es-CO"/>
              </w:rPr>
              <w:t xml:space="preserve"> sólidos</w:t>
            </w:r>
          </w:p>
        </w:tc>
        <w:tc>
          <w:tcPr>
            <w:tcW w:w="2552" w:type="dxa"/>
            <w:tcBorders>
              <w:top w:val="nil"/>
              <w:left w:val="nil"/>
              <w:bottom w:val="single" w:sz="4" w:space="0" w:color="auto"/>
              <w:right w:val="single" w:sz="4" w:space="0" w:color="auto"/>
            </w:tcBorders>
            <w:shd w:val="clear" w:color="auto" w:fill="auto"/>
            <w:vAlign w:val="center"/>
            <w:hideMark/>
          </w:tcPr>
          <w:p w14:paraId="6DB7EBA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Secretaría de Recursos Naturales y Ambiente</w:t>
            </w:r>
          </w:p>
        </w:tc>
        <w:tc>
          <w:tcPr>
            <w:tcW w:w="1662" w:type="dxa"/>
            <w:tcBorders>
              <w:top w:val="nil"/>
              <w:left w:val="nil"/>
              <w:bottom w:val="single" w:sz="4" w:space="0" w:color="auto"/>
              <w:right w:val="single" w:sz="4" w:space="0" w:color="auto"/>
            </w:tcBorders>
            <w:shd w:val="clear" w:color="auto" w:fill="auto"/>
            <w:vAlign w:val="center"/>
            <w:hideMark/>
          </w:tcPr>
          <w:p w14:paraId="43D8678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2010</w:t>
            </w:r>
          </w:p>
        </w:tc>
        <w:tc>
          <w:tcPr>
            <w:tcW w:w="5142" w:type="dxa"/>
            <w:tcBorders>
              <w:top w:val="nil"/>
              <w:left w:val="nil"/>
              <w:bottom w:val="single" w:sz="4" w:space="0" w:color="auto"/>
              <w:right w:val="single" w:sz="4" w:space="0" w:color="auto"/>
            </w:tcBorders>
            <w:shd w:val="clear" w:color="auto" w:fill="auto"/>
            <w:vAlign w:val="center"/>
            <w:hideMark/>
          </w:tcPr>
          <w:p w14:paraId="60082AE9" w14:textId="5A28B23C"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El objetivo del Reglamento es regular la gestión integral de los residuos sólidos, incluyendo las operaciones de prevención, reducción, almacenamiento y acondicionamiento, transporte, tratamiento y disposición final de dichos residuos, fomentando el aprovechamiento de </w:t>
            </w:r>
            <w:r w:rsidR="00FF1961" w:rsidRPr="00AB1C80">
              <w:rPr>
                <w:rFonts w:eastAsia="Times New Roman" w:cs="Arial"/>
                <w:color w:val="000000"/>
                <w:sz w:val="20"/>
                <w:szCs w:val="20"/>
                <w:lang w:eastAsia="es-CO"/>
              </w:rPr>
              <w:t>estos</w:t>
            </w:r>
            <w:r w:rsidRPr="00AB1C80">
              <w:rPr>
                <w:rFonts w:eastAsia="Times New Roman" w:cs="Arial"/>
                <w:color w:val="000000"/>
                <w:sz w:val="20"/>
                <w:szCs w:val="20"/>
                <w:lang w:eastAsia="es-CO"/>
              </w:rPr>
              <w:t xml:space="preserve"> con el fin de evitar riesgos a la salud y al ambiente.</w:t>
            </w:r>
          </w:p>
        </w:tc>
      </w:tr>
      <w:tr w:rsidR="006B00F0" w:rsidRPr="00AB1C80" w14:paraId="7DA96A24"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A9FBF4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México</w:t>
            </w:r>
          </w:p>
        </w:tc>
        <w:tc>
          <w:tcPr>
            <w:tcW w:w="2111" w:type="dxa"/>
            <w:tcBorders>
              <w:top w:val="nil"/>
              <w:left w:val="nil"/>
              <w:bottom w:val="single" w:sz="4" w:space="0" w:color="auto"/>
              <w:right w:val="single" w:sz="4" w:space="0" w:color="auto"/>
            </w:tcBorders>
            <w:shd w:val="clear" w:color="auto" w:fill="auto"/>
            <w:vAlign w:val="center"/>
            <w:hideMark/>
          </w:tcPr>
          <w:p w14:paraId="3D7B051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Visión Basura Cero</w:t>
            </w:r>
          </w:p>
        </w:tc>
        <w:tc>
          <w:tcPr>
            <w:tcW w:w="2552" w:type="dxa"/>
            <w:tcBorders>
              <w:top w:val="nil"/>
              <w:left w:val="nil"/>
              <w:bottom w:val="single" w:sz="4" w:space="0" w:color="auto"/>
              <w:right w:val="single" w:sz="4" w:space="0" w:color="auto"/>
            </w:tcBorders>
            <w:shd w:val="clear" w:color="auto" w:fill="auto"/>
            <w:vAlign w:val="center"/>
            <w:hideMark/>
          </w:tcPr>
          <w:p w14:paraId="337E9FC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Secretaría de Medio Ambiente y Recursos Naturales</w:t>
            </w:r>
          </w:p>
        </w:tc>
        <w:tc>
          <w:tcPr>
            <w:tcW w:w="1662" w:type="dxa"/>
            <w:tcBorders>
              <w:top w:val="nil"/>
              <w:left w:val="nil"/>
              <w:bottom w:val="single" w:sz="4" w:space="0" w:color="auto"/>
              <w:right w:val="single" w:sz="4" w:space="0" w:color="auto"/>
            </w:tcBorders>
            <w:shd w:val="clear" w:color="auto" w:fill="auto"/>
            <w:vAlign w:val="center"/>
            <w:hideMark/>
          </w:tcPr>
          <w:p w14:paraId="1BC3F15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470DF629"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La Visión ha establecido seis ejes rectores, seis principios transversales y una hoja de ruta con cinco puntos que en su conjunto buscan transformar el esquema tradicional del manejo de los residuos en un modelo de economía circular, para el aprovechamiento </w:t>
            </w:r>
            <w:r w:rsidRPr="00AB1C80">
              <w:rPr>
                <w:rFonts w:eastAsia="Times New Roman" w:cs="Arial"/>
                <w:color w:val="000000"/>
                <w:sz w:val="20"/>
                <w:szCs w:val="20"/>
                <w:lang w:eastAsia="es-CO"/>
              </w:rPr>
              <w:lastRenderedPageBreak/>
              <w:t>racional de los recursos naturales y favorecer el desarrollo sustentable en el país.</w:t>
            </w:r>
          </w:p>
        </w:tc>
      </w:tr>
      <w:tr w:rsidR="006B00F0" w:rsidRPr="00AB1C80" w14:paraId="223E45C6"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6759F2D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Nicaragua</w:t>
            </w:r>
          </w:p>
        </w:tc>
        <w:tc>
          <w:tcPr>
            <w:tcW w:w="2111" w:type="dxa"/>
            <w:tcBorders>
              <w:top w:val="nil"/>
              <w:left w:val="nil"/>
              <w:bottom w:val="single" w:sz="4" w:space="0" w:color="auto"/>
              <w:right w:val="single" w:sz="4" w:space="0" w:color="auto"/>
            </w:tcBorders>
            <w:shd w:val="clear" w:color="auto" w:fill="auto"/>
            <w:vAlign w:val="center"/>
            <w:hideMark/>
          </w:tcPr>
          <w:p w14:paraId="00C532F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Política Nacional de Gestión de Residuos Sólidos, 2004–23</w:t>
            </w:r>
          </w:p>
        </w:tc>
        <w:tc>
          <w:tcPr>
            <w:tcW w:w="2552" w:type="dxa"/>
            <w:tcBorders>
              <w:top w:val="nil"/>
              <w:left w:val="nil"/>
              <w:bottom w:val="single" w:sz="4" w:space="0" w:color="auto"/>
              <w:right w:val="single" w:sz="4" w:space="0" w:color="auto"/>
            </w:tcBorders>
            <w:shd w:val="clear" w:color="auto" w:fill="auto"/>
            <w:vAlign w:val="center"/>
            <w:hideMark/>
          </w:tcPr>
          <w:p w14:paraId="2841DF7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del Ambiente y de los Recursos Naturales</w:t>
            </w:r>
          </w:p>
        </w:tc>
        <w:tc>
          <w:tcPr>
            <w:tcW w:w="1662" w:type="dxa"/>
            <w:tcBorders>
              <w:top w:val="nil"/>
              <w:left w:val="nil"/>
              <w:bottom w:val="single" w:sz="4" w:space="0" w:color="auto"/>
              <w:right w:val="single" w:sz="4" w:space="0" w:color="auto"/>
            </w:tcBorders>
            <w:shd w:val="clear" w:color="auto" w:fill="auto"/>
            <w:vAlign w:val="center"/>
            <w:hideMark/>
          </w:tcPr>
          <w:p w14:paraId="0225A92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2005</w:t>
            </w:r>
          </w:p>
        </w:tc>
        <w:tc>
          <w:tcPr>
            <w:tcW w:w="5142" w:type="dxa"/>
            <w:tcBorders>
              <w:top w:val="nil"/>
              <w:left w:val="nil"/>
              <w:bottom w:val="single" w:sz="4" w:space="0" w:color="auto"/>
              <w:right w:val="single" w:sz="4" w:space="0" w:color="auto"/>
            </w:tcBorders>
            <w:shd w:val="clear" w:color="auto" w:fill="auto"/>
            <w:vAlign w:val="center"/>
            <w:hideMark/>
          </w:tcPr>
          <w:p w14:paraId="79D60301"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Política Nacional sobre la Gestión Integral de Residuos Sólidos tiene como objetivo general lograr el manejo integral de los residuos sólidos, no peligrosos y peligrosos incorporando los aspectos técnicos, administrativos, económicos, ambientales y sociales dirigidos a evitar y minimizar la generación de los mismos, fomentando su valorización y reduciendo la cantidad de residuos destinados a disposición final, a fin de prevenir y reducir sus riesgos para la salud y el ambiente, disminuir las presiones que se ejercen sobre los recursos naturales y elevar la competitividad de los sectores productivos, en un contexto de desarrollo sustentable y de responsabilidad compartida.</w:t>
            </w:r>
          </w:p>
        </w:tc>
      </w:tr>
      <w:tr w:rsidR="006B00F0" w:rsidRPr="00AB1C80" w14:paraId="3A776A0D"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4A078E3A"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Panamá</w:t>
            </w:r>
          </w:p>
        </w:tc>
        <w:tc>
          <w:tcPr>
            <w:tcW w:w="2111" w:type="dxa"/>
            <w:tcBorders>
              <w:top w:val="nil"/>
              <w:left w:val="nil"/>
              <w:bottom w:val="single" w:sz="4" w:space="0" w:color="auto"/>
              <w:right w:val="single" w:sz="4" w:space="0" w:color="auto"/>
            </w:tcBorders>
            <w:shd w:val="clear" w:color="auto" w:fill="auto"/>
            <w:vAlign w:val="center"/>
            <w:hideMark/>
          </w:tcPr>
          <w:p w14:paraId="1EE823F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Política Basura Cero </w:t>
            </w:r>
          </w:p>
        </w:tc>
        <w:tc>
          <w:tcPr>
            <w:tcW w:w="2552" w:type="dxa"/>
            <w:tcBorders>
              <w:top w:val="nil"/>
              <w:left w:val="nil"/>
              <w:bottom w:val="single" w:sz="4" w:space="0" w:color="auto"/>
              <w:right w:val="single" w:sz="4" w:space="0" w:color="auto"/>
            </w:tcBorders>
            <w:shd w:val="clear" w:color="auto" w:fill="auto"/>
            <w:vAlign w:val="center"/>
            <w:hideMark/>
          </w:tcPr>
          <w:p w14:paraId="4AB9370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Panamá</w:t>
            </w:r>
          </w:p>
        </w:tc>
        <w:tc>
          <w:tcPr>
            <w:tcW w:w="1662" w:type="dxa"/>
            <w:tcBorders>
              <w:top w:val="nil"/>
              <w:left w:val="nil"/>
              <w:bottom w:val="single" w:sz="4" w:space="0" w:color="auto"/>
              <w:right w:val="single" w:sz="4" w:space="0" w:color="auto"/>
            </w:tcBorders>
            <w:shd w:val="clear" w:color="auto" w:fill="auto"/>
            <w:vAlign w:val="center"/>
            <w:hideMark/>
          </w:tcPr>
          <w:p w14:paraId="3E805E5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2018</w:t>
            </w:r>
          </w:p>
        </w:tc>
        <w:tc>
          <w:tcPr>
            <w:tcW w:w="5142" w:type="dxa"/>
            <w:tcBorders>
              <w:top w:val="nil"/>
              <w:left w:val="nil"/>
              <w:bottom w:val="single" w:sz="4" w:space="0" w:color="auto"/>
              <w:right w:val="single" w:sz="4" w:space="0" w:color="auto"/>
            </w:tcBorders>
            <w:shd w:val="clear" w:color="auto" w:fill="auto"/>
            <w:vAlign w:val="center"/>
            <w:hideMark/>
          </w:tcPr>
          <w:p w14:paraId="5DAFC076"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Ley establece la Política Basura Cero y su marco de acción como parte de la gestión integral de residuos basados en el concepto de economía circular, a fin de lograr el mayor aprovechamiento económico, ambiental y social de los residuos y de los recursos naturales, así como de generar nuevas fuentes de trabajo y reducir la contaminación y los impactos a la salud y al ambiente.</w:t>
            </w:r>
          </w:p>
        </w:tc>
      </w:tr>
      <w:tr w:rsidR="006B00F0" w:rsidRPr="00AB1C80" w14:paraId="41A736A8"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122C3FE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Paraguay</w:t>
            </w:r>
          </w:p>
        </w:tc>
        <w:tc>
          <w:tcPr>
            <w:tcW w:w="2111" w:type="dxa"/>
            <w:tcBorders>
              <w:top w:val="nil"/>
              <w:left w:val="nil"/>
              <w:bottom w:val="single" w:sz="4" w:space="0" w:color="auto"/>
              <w:right w:val="single" w:sz="4" w:space="0" w:color="auto"/>
            </w:tcBorders>
            <w:shd w:val="clear" w:color="auto" w:fill="auto"/>
            <w:vAlign w:val="center"/>
            <w:hideMark/>
          </w:tcPr>
          <w:p w14:paraId="469B555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Gestión Integral de los Residuos Sólidos</w:t>
            </w:r>
          </w:p>
        </w:tc>
        <w:tc>
          <w:tcPr>
            <w:tcW w:w="2552" w:type="dxa"/>
            <w:tcBorders>
              <w:top w:val="nil"/>
              <w:left w:val="nil"/>
              <w:bottom w:val="single" w:sz="4" w:space="0" w:color="auto"/>
              <w:right w:val="single" w:sz="4" w:space="0" w:color="auto"/>
            </w:tcBorders>
            <w:shd w:val="clear" w:color="auto" w:fill="auto"/>
            <w:vAlign w:val="center"/>
            <w:hideMark/>
          </w:tcPr>
          <w:p w14:paraId="5025795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Paraguay</w:t>
            </w:r>
          </w:p>
        </w:tc>
        <w:tc>
          <w:tcPr>
            <w:tcW w:w="1662" w:type="dxa"/>
            <w:tcBorders>
              <w:top w:val="nil"/>
              <w:left w:val="nil"/>
              <w:bottom w:val="single" w:sz="4" w:space="0" w:color="auto"/>
              <w:right w:val="single" w:sz="4" w:space="0" w:color="auto"/>
            </w:tcBorders>
            <w:shd w:val="clear" w:color="auto" w:fill="auto"/>
            <w:vAlign w:val="center"/>
            <w:hideMark/>
          </w:tcPr>
          <w:p w14:paraId="48ADDCA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5142" w:type="dxa"/>
            <w:tcBorders>
              <w:top w:val="nil"/>
              <w:left w:val="nil"/>
              <w:bottom w:val="single" w:sz="4" w:space="0" w:color="auto"/>
              <w:right w:val="single" w:sz="4" w:space="0" w:color="auto"/>
            </w:tcBorders>
            <w:shd w:val="clear" w:color="auto" w:fill="auto"/>
            <w:vAlign w:val="center"/>
            <w:hideMark/>
          </w:tcPr>
          <w:p w14:paraId="50F77DF0" w14:textId="5414139C"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 xml:space="preserve">La Ley tiene por objeto el establecimiento y aplicación de un régimen jurídico a la producción y gestión responsable de los residuos sólidos, cuyo contenido normativo y utilidad práctica deberá generar la reducción de </w:t>
            </w:r>
            <w:r w:rsidR="00FF1961" w:rsidRPr="00AB1C80">
              <w:rPr>
                <w:rFonts w:eastAsia="Times New Roman" w:cs="Arial"/>
                <w:color w:val="000000"/>
                <w:sz w:val="20"/>
                <w:szCs w:val="20"/>
                <w:lang w:eastAsia="es-CO"/>
              </w:rPr>
              <w:t>estos</w:t>
            </w:r>
            <w:r w:rsidRPr="00AB1C80">
              <w:rPr>
                <w:rFonts w:eastAsia="Times New Roman" w:cs="Arial"/>
                <w:color w:val="000000"/>
                <w:sz w:val="20"/>
                <w:szCs w:val="20"/>
                <w:lang w:eastAsia="es-CO"/>
              </w:rPr>
              <w:t>, al mínimo, y evitar situaciones de riesgo para la salud humana y la calidad ambiental.</w:t>
            </w:r>
          </w:p>
        </w:tc>
      </w:tr>
      <w:tr w:rsidR="006B00F0" w:rsidRPr="00AB1C80" w14:paraId="0B4A9BFB"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46E8960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Perú</w:t>
            </w:r>
          </w:p>
        </w:tc>
        <w:tc>
          <w:tcPr>
            <w:tcW w:w="2111" w:type="dxa"/>
            <w:tcBorders>
              <w:top w:val="nil"/>
              <w:left w:val="nil"/>
              <w:bottom w:val="single" w:sz="4" w:space="0" w:color="auto"/>
              <w:right w:val="single" w:sz="4" w:space="0" w:color="auto"/>
            </w:tcBorders>
            <w:shd w:val="clear" w:color="auto" w:fill="auto"/>
            <w:vAlign w:val="center"/>
            <w:hideMark/>
          </w:tcPr>
          <w:p w14:paraId="63D0AA4A"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Hoja de ruta hacia una Economía Circular en el sector industrial </w:t>
            </w:r>
          </w:p>
        </w:tc>
        <w:tc>
          <w:tcPr>
            <w:tcW w:w="2552" w:type="dxa"/>
            <w:tcBorders>
              <w:top w:val="nil"/>
              <w:left w:val="nil"/>
              <w:bottom w:val="single" w:sz="4" w:space="0" w:color="auto"/>
              <w:right w:val="single" w:sz="4" w:space="0" w:color="auto"/>
            </w:tcBorders>
            <w:shd w:val="clear" w:color="auto" w:fill="auto"/>
            <w:vAlign w:val="center"/>
            <w:hideMark/>
          </w:tcPr>
          <w:p w14:paraId="5721BC9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la Producción (Produce) y el Ministerio de Ambiente (</w:t>
            </w:r>
            <w:proofErr w:type="spellStart"/>
            <w:r w:rsidRPr="00AB1C80">
              <w:rPr>
                <w:rFonts w:eastAsia="Times New Roman" w:cs="Arial"/>
                <w:color w:val="000000"/>
                <w:sz w:val="20"/>
                <w:szCs w:val="20"/>
                <w:lang w:eastAsia="es-CO"/>
              </w:rPr>
              <w:t>Minam</w:t>
            </w:r>
            <w:proofErr w:type="spellEnd"/>
            <w:r w:rsidRPr="00AB1C80">
              <w:rPr>
                <w:rFonts w:eastAsia="Times New Roman" w:cs="Arial"/>
                <w:color w:val="000000"/>
                <w:sz w:val="20"/>
                <w:szCs w:val="20"/>
                <w:lang w:eastAsia="es-CO"/>
              </w:rPr>
              <w:t>)</w:t>
            </w:r>
          </w:p>
        </w:tc>
        <w:tc>
          <w:tcPr>
            <w:tcW w:w="1662" w:type="dxa"/>
            <w:tcBorders>
              <w:top w:val="nil"/>
              <w:left w:val="nil"/>
              <w:bottom w:val="single" w:sz="4" w:space="0" w:color="auto"/>
              <w:right w:val="single" w:sz="4" w:space="0" w:color="auto"/>
            </w:tcBorders>
            <w:shd w:val="clear" w:color="auto" w:fill="auto"/>
            <w:vAlign w:val="center"/>
            <w:hideMark/>
          </w:tcPr>
          <w:p w14:paraId="444DA3C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5142" w:type="dxa"/>
            <w:tcBorders>
              <w:top w:val="nil"/>
              <w:left w:val="nil"/>
              <w:bottom w:val="single" w:sz="4" w:space="0" w:color="auto"/>
              <w:right w:val="single" w:sz="4" w:space="0" w:color="auto"/>
            </w:tcBorders>
            <w:shd w:val="clear" w:color="auto" w:fill="auto"/>
            <w:vAlign w:val="center"/>
            <w:hideMark/>
          </w:tcPr>
          <w:p w14:paraId="71920EB1"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Hoja de Ruta comprende acciones a corto (1 año), mediano (3 años) y largo plazo (5 años) y contempla cuatro enfoques que buscan brindar las condiciones para que las empresas migren progresivamente al modelo circular que optimiza recursos y procesos. Los cuatro enfoques definidos son: Producción industrial sostenible; Consumo sostenible; Aprovechamiento de material de descarte y gestión de residuos industriales, e Innovación y financiamiento.</w:t>
            </w:r>
          </w:p>
        </w:tc>
      </w:tr>
      <w:tr w:rsidR="006B00F0" w:rsidRPr="00AB1C80" w14:paraId="22B8DFC4"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484EB37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Puerto Rico</w:t>
            </w:r>
          </w:p>
        </w:tc>
        <w:tc>
          <w:tcPr>
            <w:tcW w:w="2111" w:type="dxa"/>
            <w:tcBorders>
              <w:top w:val="nil"/>
              <w:left w:val="nil"/>
              <w:bottom w:val="single" w:sz="4" w:space="0" w:color="auto"/>
              <w:right w:val="single" w:sz="4" w:space="0" w:color="auto"/>
            </w:tcBorders>
            <w:shd w:val="clear" w:color="auto" w:fill="auto"/>
            <w:vAlign w:val="center"/>
            <w:hideMark/>
          </w:tcPr>
          <w:p w14:paraId="0E46C5E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Ley para la Reducción y el Reciclaje de Desperdicios Sólidos </w:t>
            </w:r>
          </w:p>
        </w:tc>
        <w:tc>
          <w:tcPr>
            <w:tcW w:w="2552" w:type="dxa"/>
            <w:tcBorders>
              <w:top w:val="nil"/>
              <w:left w:val="nil"/>
              <w:bottom w:val="single" w:sz="4" w:space="0" w:color="auto"/>
              <w:right w:val="single" w:sz="4" w:space="0" w:color="auto"/>
            </w:tcBorders>
            <w:shd w:val="clear" w:color="auto" w:fill="auto"/>
            <w:vAlign w:val="center"/>
            <w:hideMark/>
          </w:tcPr>
          <w:p w14:paraId="4C23E0B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Departamento de Recursos Naturales y Ambientales </w:t>
            </w:r>
          </w:p>
        </w:tc>
        <w:tc>
          <w:tcPr>
            <w:tcW w:w="1662" w:type="dxa"/>
            <w:tcBorders>
              <w:top w:val="nil"/>
              <w:left w:val="nil"/>
              <w:bottom w:val="single" w:sz="4" w:space="0" w:color="auto"/>
              <w:right w:val="single" w:sz="4" w:space="0" w:color="auto"/>
            </w:tcBorders>
            <w:shd w:val="clear" w:color="auto" w:fill="auto"/>
            <w:vAlign w:val="center"/>
            <w:hideMark/>
          </w:tcPr>
          <w:p w14:paraId="1770176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2000</w:t>
            </w:r>
          </w:p>
        </w:tc>
        <w:tc>
          <w:tcPr>
            <w:tcW w:w="5142" w:type="dxa"/>
            <w:tcBorders>
              <w:top w:val="nil"/>
              <w:left w:val="nil"/>
              <w:bottom w:val="single" w:sz="4" w:space="0" w:color="auto"/>
              <w:right w:val="single" w:sz="4" w:space="0" w:color="auto"/>
            </w:tcBorders>
            <w:shd w:val="clear" w:color="auto" w:fill="auto"/>
            <w:vAlign w:val="center"/>
            <w:hideMark/>
          </w:tcPr>
          <w:p w14:paraId="423FC016"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El objeto es el de ordenar la creación de un programa para la reducción y el reciclaje de desperdicios sólidos en el Estado Libre Asociado de Puerto Rico orientado a disminuir el volumen de los desperdicios que se depositan en los vertederos; a la recuperación de recursos y energía; al desarrollo de un mercado de material reciclado; a la conservación de recursos naturales, al mejoramiento del ambiente y la salud del Pueblo.</w:t>
            </w:r>
          </w:p>
        </w:tc>
      </w:tr>
      <w:tr w:rsidR="006B00F0" w:rsidRPr="00AB1C80" w14:paraId="7CB6BD88"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296D188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República Dominicana </w:t>
            </w:r>
          </w:p>
        </w:tc>
        <w:tc>
          <w:tcPr>
            <w:tcW w:w="2111" w:type="dxa"/>
            <w:tcBorders>
              <w:top w:val="nil"/>
              <w:left w:val="nil"/>
              <w:bottom w:val="single" w:sz="4" w:space="0" w:color="auto"/>
              <w:right w:val="single" w:sz="4" w:space="0" w:color="auto"/>
            </w:tcBorders>
            <w:shd w:val="clear" w:color="auto" w:fill="auto"/>
            <w:vAlign w:val="center"/>
            <w:hideMark/>
          </w:tcPr>
          <w:p w14:paraId="5952C0F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Política para la Gestión Integral de Residuos sólidos municipales</w:t>
            </w:r>
          </w:p>
        </w:tc>
        <w:tc>
          <w:tcPr>
            <w:tcW w:w="2552" w:type="dxa"/>
            <w:tcBorders>
              <w:top w:val="nil"/>
              <w:left w:val="nil"/>
              <w:bottom w:val="single" w:sz="4" w:space="0" w:color="auto"/>
              <w:right w:val="single" w:sz="4" w:space="0" w:color="auto"/>
            </w:tcBorders>
            <w:shd w:val="clear" w:color="auto" w:fill="auto"/>
            <w:vAlign w:val="center"/>
            <w:hideMark/>
          </w:tcPr>
          <w:p w14:paraId="56C1C056"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Ministerio de Medio Ambiente y Recursos Naturales</w:t>
            </w:r>
          </w:p>
        </w:tc>
        <w:tc>
          <w:tcPr>
            <w:tcW w:w="1662" w:type="dxa"/>
            <w:tcBorders>
              <w:top w:val="nil"/>
              <w:left w:val="nil"/>
              <w:bottom w:val="single" w:sz="4" w:space="0" w:color="auto"/>
              <w:right w:val="single" w:sz="4" w:space="0" w:color="auto"/>
            </w:tcBorders>
            <w:shd w:val="clear" w:color="auto" w:fill="auto"/>
            <w:vAlign w:val="center"/>
            <w:hideMark/>
          </w:tcPr>
          <w:p w14:paraId="61FC7FB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5142" w:type="dxa"/>
            <w:tcBorders>
              <w:top w:val="nil"/>
              <w:left w:val="nil"/>
              <w:bottom w:val="single" w:sz="4" w:space="0" w:color="auto"/>
              <w:right w:val="single" w:sz="4" w:space="0" w:color="auto"/>
            </w:tcBorders>
            <w:shd w:val="clear" w:color="auto" w:fill="auto"/>
            <w:vAlign w:val="center"/>
            <w:hideMark/>
          </w:tcPr>
          <w:p w14:paraId="2EBBFBC7"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Se establece la Gestión Integral de Residuos Sólidos como la alternativa más adecuada, promoviendo y apoyando iniciativas que contribuyan a su reducción, reutilización y reciclaje (3Rs), incentivando y priorizando la ejecución de proyectos de valorización de residuos sólidos que permitan soluciones a problemas, no sólo vinculados directamente al sector, sino a otros de carácter nacional; favoreciendo la inclusión social y económica de los recuperadores de residuos (buzos) y garantizando una disposición final sin peligro a largo plazo para el ser humano y el ambiente de aquellos, que por cualquier circunstancia, no se puedan aprovechar.</w:t>
            </w:r>
          </w:p>
        </w:tc>
      </w:tr>
      <w:tr w:rsidR="006B00F0" w:rsidRPr="00AB1C80" w14:paraId="7A0068EC"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09920C1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Uruguay</w:t>
            </w:r>
          </w:p>
        </w:tc>
        <w:tc>
          <w:tcPr>
            <w:tcW w:w="2111" w:type="dxa"/>
            <w:tcBorders>
              <w:top w:val="nil"/>
              <w:left w:val="nil"/>
              <w:bottom w:val="single" w:sz="4" w:space="0" w:color="auto"/>
              <w:right w:val="single" w:sz="4" w:space="0" w:color="auto"/>
            </w:tcBorders>
            <w:shd w:val="clear" w:color="auto" w:fill="auto"/>
            <w:vAlign w:val="center"/>
            <w:hideMark/>
          </w:tcPr>
          <w:p w14:paraId="42E751D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Plan de Acción en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3F3B330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Sistema Nacional de Trasformación Productiva y Competitividad</w:t>
            </w:r>
          </w:p>
        </w:tc>
        <w:tc>
          <w:tcPr>
            <w:tcW w:w="1662" w:type="dxa"/>
            <w:tcBorders>
              <w:top w:val="nil"/>
              <w:left w:val="nil"/>
              <w:bottom w:val="single" w:sz="4" w:space="0" w:color="auto"/>
              <w:right w:val="single" w:sz="4" w:space="0" w:color="auto"/>
            </w:tcBorders>
            <w:shd w:val="clear" w:color="auto" w:fill="auto"/>
            <w:vAlign w:val="center"/>
            <w:hideMark/>
          </w:tcPr>
          <w:p w14:paraId="5D21FE9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2019</w:t>
            </w:r>
          </w:p>
        </w:tc>
        <w:tc>
          <w:tcPr>
            <w:tcW w:w="5142" w:type="dxa"/>
            <w:tcBorders>
              <w:top w:val="nil"/>
              <w:left w:val="nil"/>
              <w:bottom w:val="single" w:sz="4" w:space="0" w:color="auto"/>
              <w:right w:val="single" w:sz="4" w:space="0" w:color="auto"/>
            </w:tcBorders>
            <w:shd w:val="clear" w:color="auto" w:fill="auto"/>
            <w:vAlign w:val="center"/>
            <w:hideMark/>
          </w:tcPr>
          <w:p w14:paraId="7C30DFA3"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Impulsar la economía circular en el marco del desarrollo sostenible del país.</w:t>
            </w:r>
          </w:p>
        </w:tc>
      </w:tr>
      <w:tr w:rsidR="006B00F0" w:rsidRPr="00AB1C80" w14:paraId="5B044DBA"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CC6178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Venezuela</w:t>
            </w:r>
          </w:p>
        </w:tc>
        <w:tc>
          <w:tcPr>
            <w:tcW w:w="2111" w:type="dxa"/>
            <w:tcBorders>
              <w:top w:val="nil"/>
              <w:left w:val="nil"/>
              <w:bottom w:val="single" w:sz="4" w:space="0" w:color="auto"/>
              <w:right w:val="single" w:sz="4" w:space="0" w:color="auto"/>
            </w:tcBorders>
            <w:shd w:val="clear" w:color="auto" w:fill="auto"/>
            <w:vAlign w:val="center"/>
            <w:hideMark/>
          </w:tcPr>
          <w:p w14:paraId="568252C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de gestión integral de la basura</w:t>
            </w:r>
          </w:p>
        </w:tc>
        <w:tc>
          <w:tcPr>
            <w:tcW w:w="2552" w:type="dxa"/>
            <w:tcBorders>
              <w:top w:val="nil"/>
              <w:left w:val="nil"/>
              <w:bottom w:val="single" w:sz="4" w:space="0" w:color="auto"/>
              <w:right w:val="single" w:sz="4" w:space="0" w:color="auto"/>
            </w:tcBorders>
            <w:shd w:val="clear" w:color="auto" w:fill="auto"/>
            <w:vAlign w:val="center"/>
            <w:hideMark/>
          </w:tcPr>
          <w:p w14:paraId="60ADFB3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Venezuela</w:t>
            </w:r>
          </w:p>
        </w:tc>
        <w:tc>
          <w:tcPr>
            <w:tcW w:w="1662" w:type="dxa"/>
            <w:tcBorders>
              <w:top w:val="nil"/>
              <w:left w:val="nil"/>
              <w:bottom w:val="single" w:sz="4" w:space="0" w:color="auto"/>
              <w:right w:val="single" w:sz="4" w:space="0" w:color="auto"/>
            </w:tcBorders>
            <w:shd w:val="clear" w:color="auto" w:fill="auto"/>
            <w:vAlign w:val="center"/>
            <w:hideMark/>
          </w:tcPr>
          <w:p w14:paraId="0D8C9C1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2010</w:t>
            </w:r>
          </w:p>
        </w:tc>
        <w:tc>
          <w:tcPr>
            <w:tcW w:w="5142" w:type="dxa"/>
            <w:tcBorders>
              <w:top w:val="nil"/>
              <w:left w:val="nil"/>
              <w:bottom w:val="single" w:sz="4" w:space="0" w:color="auto"/>
              <w:right w:val="single" w:sz="4" w:space="0" w:color="auto"/>
            </w:tcBorders>
            <w:shd w:val="clear" w:color="auto" w:fill="auto"/>
            <w:vAlign w:val="center"/>
            <w:hideMark/>
          </w:tcPr>
          <w:p w14:paraId="664E0AE1"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Ley de gestión integral de la basura, establece las disposiciones regulatorias para la gestión integral de la basura con el fin de reducir su generación y garantizar que su recolección, aprovechamiento y disposición final sea realizada en forma sanitaria y ambientalmente segura.</w:t>
            </w:r>
          </w:p>
        </w:tc>
      </w:tr>
      <w:tr w:rsidR="006B00F0" w:rsidRPr="00AB1C80" w14:paraId="1B9FABEC" w14:textId="77777777" w:rsidTr="006B00F0">
        <w:trPr>
          <w:trHeight w:val="20"/>
          <w:jc w:val="center"/>
        </w:trPr>
        <w:tc>
          <w:tcPr>
            <w:tcW w:w="12753" w:type="dxa"/>
            <w:gridSpan w:val="5"/>
            <w:tcBorders>
              <w:top w:val="single" w:sz="4" w:space="0" w:color="auto"/>
              <w:left w:val="single" w:sz="4" w:space="0" w:color="auto"/>
              <w:bottom w:val="single" w:sz="4" w:space="0" w:color="auto"/>
              <w:right w:val="single" w:sz="4" w:space="0" w:color="auto"/>
            </w:tcBorders>
            <w:shd w:val="clear" w:color="000000" w:fill="9BC2E6"/>
            <w:vAlign w:val="center"/>
            <w:hideMark/>
          </w:tcPr>
          <w:p w14:paraId="4F26B94D" w14:textId="77777777" w:rsidR="006B00F0" w:rsidRPr="00AB1C80" w:rsidRDefault="006B00F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Asia</w:t>
            </w:r>
          </w:p>
        </w:tc>
      </w:tr>
      <w:tr w:rsidR="006B00F0" w:rsidRPr="00AB1C80" w14:paraId="484D5BF2"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7933441"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Japón</w:t>
            </w:r>
          </w:p>
        </w:tc>
        <w:tc>
          <w:tcPr>
            <w:tcW w:w="2111" w:type="dxa"/>
            <w:tcBorders>
              <w:top w:val="nil"/>
              <w:left w:val="nil"/>
              <w:bottom w:val="single" w:sz="4" w:space="0" w:color="auto"/>
              <w:right w:val="single" w:sz="4" w:space="0" w:color="auto"/>
            </w:tcBorders>
            <w:shd w:val="clear" w:color="auto" w:fill="auto"/>
            <w:vAlign w:val="center"/>
            <w:hideMark/>
          </w:tcPr>
          <w:p w14:paraId="4548924E"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de promoción de la utilización efectiva de los recursos</w:t>
            </w:r>
          </w:p>
        </w:tc>
        <w:tc>
          <w:tcPr>
            <w:tcW w:w="2552" w:type="dxa"/>
            <w:tcBorders>
              <w:top w:val="nil"/>
              <w:left w:val="nil"/>
              <w:bottom w:val="single" w:sz="4" w:space="0" w:color="auto"/>
              <w:right w:val="single" w:sz="4" w:space="0" w:color="auto"/>
            </w:tcBorders>
            <w:shd w:val="clear" w:color="auto" w:fill="auto"/>
            <w:vAlign w:val="center"/>
            <w:hideMark/>
          </w:tcPr>
          <w:p w14:paraId="0C219B5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Japón</w:t>
            </w:r>
          </w:p>
        </w:tc>
        <w:tc>
          <w:tcPr>
            <w:tcW w:w="1662" w:type="dxa"/>
            <w:tcBorders>
              <w:top w:val="nil"/>
              <w:left w:val="nil"/>
              <w:bottom w:val="single" w:sz="4" w:space="0" w:color="auto"/>
              <w:right w:val="single" w:sz="4" w:space="0" w:color="auto"/>
            </w:tcBorders>
            <w:shd w:val="clear" w:color="auto" w:fill="auto"/>
            <w:vAlign w:val="center"/>
            <w:hideMark/>
          </w:tcPr>
          <w:p w14:paraId="0052479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2000</w:t>
            </w:r>
          </w:p>
        </w:tc>
        <w:tc>
          <w:tcPr>
            <w:tcW w:w="5142" w:type="dxa"/>
            <w:tcBorders>
              <w:top w:val="nil"/>
              <w:left w:val="nil"/>
              <w:bottom w:val="single" w:sz="4" w:space="0" w:color="auto"/>
              <w:right w:val="single" w:sz="4" w:space="0" w:color="auto"/>
            </w:tcBorders>
            <w:shd w:val="clear" w:color="auto" w:fill="auto"/>
            <w:vAlign w:val="center"/>
            <w:hideMark/>
          </w:tcPr>
          <w:p w14:paraId="6F91D2B5"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Promoción de medidas de reducción, reutilización y reciclaje (3Rs) destinadas al establecimiento de una sociedad con ciclos de reciclaje de materiales.</w:t>
            </w:r>
          </w:p>
        </w:tc>
      </w:tr>
      <w:tr w:rsidR="006B00F0" w:rsidRPr="00AB1C80" w14:paraId="0D5A2CDB" w14:textId="77777777" w:rsidTr="006B00F0">
        <w:trPr>
          <w:trHeight w:val="20"/>
          <w:jc w:val="center"/>
        </w:trPr>
        <w:tc>
          <w:tcPr>
            <w:tcW w:w="12753" w:type="dxa"/>
            <w:gridSpan w:val="5"/>
            <w:tcBorders>
              <w:top w:val="single" w:sz="4" w:space="0" w:color="auto"/>
              <w:left w:val="single" w:sz="4" w:space="0" w:color="auto"/>
              <w:bottom w:val="single" w:sz="4" w:space="0" w:color="auto"/>
              <w:right w:val="single" w:sz="4" w:space="0" w:color="auto"/>
            </w:tcBorders>
            <w:shd w:val="clear" w:color="000000" w:fill="9BC2E6"/>
            <w:vAlign w:val="center"/>
            <w:hideMark/>
          </w:tcPr>
          <w:p w14:paraId="5ACD343F" w14:textId="77777777" w:rsidR="006B00F0" w:rsidRPr="00AB1C80" w:rsidRDefault="006B00F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Europa</w:t>
            </w:r>
          </w:p>
        </w:tc>
      </w:tr>
      <w:tr w:rsidR="006B00F0" w:rsidRPr="00AB1C80" w14:paraId="3939B44A"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7778A7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Alemania</w:t>
            </w:r>
          </w:p>
        </w:tc>
        <w:tc>
          <w:tcPr>
            <w:tcW w:w="2111" w:type="dxa"/>
            <w:tcBorders>
              <w:top w:val="nil"/>
              <w:left w:val="nil"/>
              <w:bottom w:val="single" w:sz="4" w:space="0" w:color="auto"/>
              <w:right w:val="single" w:sz="4" w:space="0" w:color="auto"/>
            </w:tcBorders>
            <w:shd w:val="clear" w:color="auto" w:fill="auto"/>
            <w:vAlign w:val="center"/>
            <w:hideMark/>
          </w:tcPr>
          <w:p w14:paraId="200837A6"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Ley de Economía Circular y Residuos</w:t>
            </w:r>
          </w:p>
        </w:tc>
        <w:tc>
          <w:tcPr>
            <w:tcW w:w="2552" w:type="dxa"/>
            <w:tcBorders>
              <w:top w:val="nil"/>
              <w:left w:val="nil"/>
              <w:bottom w:val="single" w:sz="4" w:space="0" w:color="auto"/>
              <w:right w:val="single" w:sz="4" w:space="0" w:color="auto"/>
            </w:tcBorders>
            <w:shd w:val="clear" w:color="auto" w:fill="auto"/>
            <w:vAlign w:val="center"/>
            <w:hideMark/>
          </w:tcPr>
          <w:p w14:paraId="764BA02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Alemania</w:t>
            </w:r>
          </w:p>
        </w:tc>
        <w:tc>
          <w:tcPr>
            <w:tcW w:w="1662" w:type="dxa"/>
            <w:tcBorders>
              <w:top w:val="nil"/>
              <w:left w:val="nil"/>
              <w:bottom w:val="single" w:sz="4" w:space="0" w:color="auto"/>
              <w:right w:val="single" w:sz="4" w:space="0" w:color="auto"/>
            </w:tcBorders>
            <w:shd w:val="clear" w:color="auto" w:fill="auto"/>
            <w:vAlign w:val="center"/>
            <w:hideMark/>
          </w:tcPr>
          <w:p w14:paraId="4E4C425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1994</w:t>
            </w:r>
          </w:p>
        </w:tc>
        <w:tc>
          <w:tcPr>
            <w:tcW w:w="5142" w:type="dxa"/>
            <w:tcBorders>
              <w:top w:val="nil"/>
              <w:left w:val="nil"/>
              <w:bottom w:val="single" w:sz="4" w:space="0" w:color="auto"/>
              <w:right w:val="single" w:sz="4" w:space="0" w:color="auto"/>
            </w:tcBorders>
            <w:shd w:val="clear" w:color="auto" w:fill="auto"/>
            <w:vAlign w:val="center"/>
            <w:hideMark/>
          </w:tcPr>
          <w:p w14:paraId="5E9946B0"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Ley para la separación de la basura- sistema unitario para todo el país, se creó un sistema de reciclaje que exige mayor responsabilidad, no solo de los consumidores, sino también de los productores.</w:t>
            </w:r>
          </w:p>
        </w:tc>
      </w:tr>
      <w:tr w:rsidR="006B00F0" w:rsidRPr="00AB1C80" w14:paraId="23B2747A"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5C6595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España </w:t>
            </w:r>
          </w:p>
        </w:tc>
        <w:tc>
          <w:tcPr>
            <w:tcW w:w="2111" w:type="dxa"/>
            <w:tcBorders>
              <w:top w:val="nil"/>
              <w:left w:val="nil"/>
              <w:bottom w:val="single" w:sz="4" w:space="0" w:color="auto"/>
              <w:right w:val="single" w:sz="4" w:space="0" w:color="auto"/>
            </w:tcBorders>
            <w:shd w:val="clear" w:color="auto" w:fill="auto"/>
            <w:vAlign w:val="center"/>
            <w:hideMark/>
          </w:tcPr>
          <w:p w14:paraId="555F46D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Estrategia Española de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432E4C59"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Gobierno de España</w:t>
            </w:r>
          </w:p>
        </w:tc>
        <w:tc>
          <w:tcPr>
            <w:tcW w:w="1662" w:type="dxa"/>
            <w:tcBorders>
              <w:top w:val="nil"/>
              <w:left w:val="nil"/>
              <w:bottom w:val="single" w:sz="4" w:space="0" w:color="auto"/>
              <w:right w:val="single" w:sz="4" w:space="0" w:color="auto"/>
            </w:tcBorders>
            <w:shd w:val="clear" w:color="auto" w:fill="auto"/>
            <w:vAlign w:val="center"/>
            <w:hideMark/>
          </w:tcPr>
          <w:p w14:paraId="6233D7C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5142" w:type="dxa"/>
            <w:tcBorders>
              <w:top w:val="nil"/>
              <w:left w:val="nil"/>
              <w:bottom w:val="single" w:sz="4" w:space="0" w:color="auto"/>
              <w:right w:val="single" w:sz="4" w:space="0" w:color="auto"/>
            </w:tcBorders>
            <w:shd w:val="clear" w:color="auto" w:fill="auto"/>
            <w:vAlign w:val="center"/>
            <w:hideMark/>
          </w:tcPr>
          <w:p w14:paraId="79EA119C"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La Estrategia establece unas orientaciones estratégicas a modo de decálogo y se marca una serie de objetivos cuantitativos a alcanzar para el año 2030.</w:t>
            </w:r>
          </w:p>
        </w:tc>
      </w:tr>
      <w:tr w:rsidR="006B00F0" w:rsidRPr="00AB1C80" w14:paraId="62A618D0" w14:textId="77777777" w:rsidTr="006B00F0">
        <w:trPr>
          <w:trHeight w:val="20"/>
          <w:jc w:val="center"/>
        </w:trPr>
        <w:tc>
          <w:tcPr>
            <w:tcW w:w="12753" w:type="dxa"/>
            <w:gridSpan w:val="5"/>
            <w:tcBorders>
              <w:top w:val="single" w:sz="4" w:space="0" w:color="auto"/>
              <w:left w:val="single" w:sz="4" w:space="0" w:color="auto"/>
              <w:bottom w:val="single" w:sz="4" w:space="0" w:color="auto"/>
              <w:right w:val="single" w:sz="4" w:space="0" w:color="auto"/>
            </w:tcBorders>
            <w:shd w:val="clear" w:color="000000" w:fill="9BC2E6"/>
            <w:vAlign w:val="center"/>
            <w:hideMark/>
          </w:tcPr>
          <w:p w14:paraId="102B27E4" w14:textId="77777777" w:rsidR="006B00F0" w:rsidRPr="00AB1C80" w:rsidRDefault="006B00F0" w:rsidP="00AB1C80">
            <w:pPr>
              <w:spacing w:line="276" w:lineRule="auto"/>
              <w:jc w:val="center"/>
              <w:rPr>
                <w:rFonts w:eastAsia="Times New Roman" w:cs="Arial"/>
                <w:b/>
                <w:bCs/>
                <w:color w:val="000000"/>
                <w:sz w:val="20"/>
                <w:szCs w:val="20"/>
                <w:lang w:eastAsia="es-CO"/>
              </w:rPr>
            </w:pPr>
            <w:r w:rsidRPr="00AB1C80">
              <w:rPr>
                <w:rFonts w:eastAsia="Times New Roman" w:cs="Arial"/>
                <w:b/>
                <w:bCs/>
                <w:color w:val="000000"/>
                <w:sz w:val="20"/>
                <w:szCs w:val="20"/>
                <w:lang w:eastAsia="es-CO"/>
              </w:rPr>
              <w:t>Origen Internacional</w:t>
            </w:r>
          </w:p>
        </w:tc>
      </w:tr>
      <w:tr w:rsidR="006B00F0" w:rsidRPr="00AB1C80" w14:paraId="3AA15CFF"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1912CC3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Internacional</w:t>
            </w:r>
          </w:p>
        </w:tc>
        <w:tc>
          <w:tcPr>
            <w:tcW w:w="2111" w:type="dxa"/>
            <w:tcBorders>
              <w:top w:val="nil"/>
              <w:left w:val="nil"/>
              <w:bottom w:val="single" w:sz="4" w:space="0" w:color="auto"/>
              <w:right w:val="single" w:sz="4" w:space="0" w:color="auto"/>
            </w:tcBorders>
            <w:shd w:val="clear" w:color="auto" w:fill="auto"/>
            <w:vAlign w:val="center"/>
            <w:hideMark/>
          </w:tcPr>
          <w:p w14:paraId="0132107D"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Standard BS 8001:2017</w:t>
            </w:r>
          </w:p>
        </w:tc>
        <w:tc>
          <w:tcPr>
            <w:tcW w:w="2552" w:type="dxa"/>
            <w:tcBorders>
              <w:top w:val="nil"/>
              <w:left w:val="nil"/>
              <w:bottom w:val="single" w:sz="4" w:space="0" w:color="auto"/>
              <w:right w:val="single" w:sz="4" w:space="0" w:color="auto"/>
            </w:tcBorders>
            <w:shd w:val="clear" w:color="auto" w:fill="auto"/>
            <w:vAlign w:val="center"/>
            <w:hideMark/>
          </w:tcPr>
          <w:p w14:paraId="78AF3418"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 xml:space="preserve">British </w:t>
            </w:r>
            <w:proofErr w:type="spellStart"/>
            <w:r w:rsidRPr="00AB1C80">
              <w:rPr>
                <w:rFonts w:eastAsia="Times New Roman" w:cs="Arial"/>
                <w:color w:val="000000"/>
                <w:sz w:val="20"/>
                <w:szCs w:val="20"/>
                <w:lang w:eastAsia="es-CO"/>
              </w:rPr>
              <w:t>Standards</w:t>
            </w:r>
            <w:proofErr w:type="spellEnd"/>
            <w:r w:rsidRPr="00AB1C80">
              <w:rPr>
                <w:rFonts w:eastAsia="Times New Roman" w:cs="Arial"/>
                <w:color w:val="000000"/>
                <w:sz w:val="20"/>
                <w:szCs w:val="20"/>
                <w:lang w:eastAsia="es-CO"/>
              </w:rPr>
              <w:t xml:space="preserve"> Institute (BSI)</w:t>
            </w:r>
          </w:p>
        </w:tc>
        <w:tc>
          <w:tcPr>
            <w:tcW w:w="1662" w:type="dxa"/>
            <w:tcBorders>
              <w:top w:val="nil"/>
              <w:left w:val="nil"/>
              <w:bottom w:val="single" w:sz="4" w:space="0" w:color="auto"/>
              <w:right w:val="single" w:sz="4" w:space="0" w:color="auto"/>
            </w:tcBorders>
            <w:shd w:val="clear" w:color="auto" w:fill="auto"/>
            <w:vAlign w:val="center"/>
            <w:hideMark/>
          </w:tcPr>
          <w:p w14:paraId="746E6EC2"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2017</w:t>
            </w:r>
          </w:p>
        </w:tc>
        <w:tc>
          <w:tcPr>
            <w:tcW w:w="5142" w:type="dxa"/>
            <w:tcBorders>
              <w:top w:val="nil"/>
              <w:left w:val="nil"/>
              <w:bottom w:val="single" w:sz="4" w:space="0" w:color="auto"/>
              <w:right w:val="single" w:sz="4" w:space="0" w:color="auto"/>
            </w:tcBorders>
            <w:shd w:val="clear" w:color="auto" w:fill="auto"/>
            <w:vAlign w:val="center"/>
            <w:hideMark/>
          </w:tcPr>
          <w:p w14:paraId="4B9BFF63"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Norma para la Economía Circular - Marco para la aplicación de los principios de la economía circular en las organizaciones.</w:t>
            </w:r>
          </w:p>
        </w:tc>
      </w:tr>
      <w:tr w:rsidR="006B00F0" w:rsidRPr="00AB1C80" w14:paraId="08E79386"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5B7968EB"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Internacional</w:t>
            </w:r>
          </w:p>
        </w:tc>
        <w:tc>
          <w:tcPr>
            <w:tcW w:w="2111" w:type="dxa"/>
            <w:tcBorders>
              <w:top w:val="nil"/>
              <w:left w:val="nil"/>
              <w:bottom w:val="single" w:sz="4" w:space="0" w:color="auto"/>
              <w:right w:val="single" w:sz="4" w:space="0" w:color="auto"/>
            </w:tcBorders>
            <w:shd w:val="clear" w:color="auto" w:fill="auto"/>
            <w:vAlign w:val="center"/>
            <w:hideMark/>
          </w:tcPr>
          <w:p w14:paraId="5BBAE7B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Serie ISO 14000</w:t>
            </w:r>
          </w:p>
        </w:tc>
        <w:tc>
          <w:tcPr>
            <w:tcW w:w="2552" w:type="dxa"/>
            <w:tcBorders>
              <w:top w:val="nil"/>
              <w:left w:val="nil"/>
              <w:bottom w:val="single" w:sz="4" w:space="0" w:color="auto"/>
              <w:right w:val="single" w:sz="4" w:space="0" w:color="auto"/>
            </w:tcBorders>
            <w:shd w:val="clear" w:color="auto" w:fill="auto"/>
            <w:vAlign w:val="center"/>
            <w:hideMark/>
          </w:tcPr>
          <w:p w14:paraId="2C596534"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Organización Internacional de Normalización (ISO)</w:t>
            </w:r>
          </w:p>
        </w:tc>
        <w:tc>
          <w:tcPr>
            <w:tcW w:w="1662" w:type="dxa"/>
            <w:tcBorders>
              <w:top w:val="nil"/>
              <w:left w:val="nil"/>
              <w:bottom w:val="single" w:sz="4" w:space="0" w:color="auto"/>
              <w:right w:val="single" w:sz="4" w:space="0" w:color="auto"/>
            </w:tcBorders>
            <w:shd w:val="clear" w:color="auto" w:fill="auto"/>
            <w:vAlign w:val="center"/>
            <w:hideMark/>
          </w:tcPr>
          <w:p w14:paraId="7C8C350F"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Versión más reciente 2015 -(14001)</w:t>
            </w:r>
          </w:p>
        </w:tc>
        <w:tc>
          <w:tcPr>
            <w:tcW w:w="5142" w:type="dxa"/>
            <w:tcBorders>
              <w:top w:val="nil"/>
              <w:left w:val="nil"/>
              <w:bottom w:val="single" w:sz="4" w:space="0" w:color="auto"/>
              <w:right w:val="single" w:sz="4" w:space="0" w:color="auto"/>
            </w:tcBorders>
            <w:shd w:val="clear" w:color="auto" w:fill="auto"/>
            <w:vAlign w:val="center"/>
            <w:hideMark/>
          </w:tcPr>
          <w:p w14:paraId="29DC70FE"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Familia de normas que regula todo lo relativo a los Sistemas de Gestión Ambiental.</w:t>
            </w:r>
          </w:p>
        </w:tc>
      </w:tr>
      <w:tr w:rsidR="006B00F0" w:rsidRPr="00AB1C80" w14:paraId="1597977D"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3713279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lastRenderedPageBreak/>
              <w:t>Internacional</w:t>
            </w:r>
          </w:p>
        </w:tc>
        <w:tc>
          <w:tcPr>
            <w:tcW w:w="2111" w:type="dxa"/>
            <w:tcBorders>
              <w:top w:val="nil"/>
              <w:left w:val="nil"/>
              <w:bottom w:val="single" w:sz="4" w:space="0" w:color="auto"/>
              <w:right w:val="single" w:sz="4" w:space="0" w:color="auto"/>
            </w:tcBorders>
            <w:shd w:val="clear" w:color="auto" w:fill="auto"/>
            <w:vAlign w:val="center"/>
            <w:hideMark/>
          </w:tcPr>
          <w:p w14:paraId="74E2904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Primer Plan de Acción sobre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32C5545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Unión Europea</w:t>
            </w:r>
          </w:p>
        </w:tc>
        <w:tc>
          <w:tcPr>
            <w:tcW w:w="1662" w:type="dxa"/>
            <w:tcBorders>
              <w:top w:val="nil"/>
              <w:left w:val="nil"/>
              <w:bottom w:val="single" w:sz="4" w:space="0" w:color="auto"/>
              <w:right w:val="single" w:sz="4" w:space="0" w:color="auto"/>
            </w:tcBorders>
            <w:shd w:val="clear" w:color="auto" w:fill="auto"/>
            <w:vAlign w:val="center"/>
            <w:hideMark/>
          </w:tcPr>
          <w:p w14:paraId="5740C2E7"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2015</w:t>
            </w:r>
          </w:p>
        </w:tc>
        <w:tc>
          <w:tcPr>
            <w:tcW w:w="5142" w:type="dxa"/>
            <w:tcBorders>
              <w:top w:val="nil"/>
              <w:left w:val="nil"/>
              <w:bottom w:val="single" w:sz="4" w:space="0" w:color="auto"/>
              <w:right w:val="single" w:sz="4" w:space="0" w:color="auto"/>
            </w:tcBorders>
            <w:shd w:val="clear" w:color="auto" w:fill="auto"/>
            <w:vAlign w:val="center"/>
            <w:hideMark/>
          </w:tcPr>
          <w:p w14:paraId="6A81EE15"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Primer paquete de propuestas que funcionó como “hoja de ruta” para contribuir a acelerar la transición de Europa hacia una economía circular, impulsar la competitividad mundial, promover el crecimiento económico sostenible y generar nuevos puestos de trabajo.</w:t>
            </w:r>
          </w:p>
        </w:tc>
      </w:tr>
      <w:tr w:rsidR="006B00F0" w:rsidRPr="00AB1C80" w14:paraId="4880174A" w14:textId="77777777" w:rsidTr="006B00F0">
        <w:trPr>
          <w:trHeight w:val="2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14:paraId="739B538C"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Internacional</w:t>
            </w:r>
          </w:p>
        </w:tc>
        <w:tc>
          <w:tcPr>
            <w:tcW w:w="2111" w:type="dxa"/>
            <w:tcBorders>
              <w:top w:val="nil"/>
              <w:left w:val="nil"/>
              <w:bottom w:val="single" w:sz="4" w:space="0" w:color="auto"/>
              <w:right w:val="single" w:sz="4" w:space="0" w:color="auto"/>
            </w:tcBorders>
            <w:shd w:val="clear" w:color="auto" w:fill="auto"/>
            <w:vAlign w:val="center"/>
            <w:hideMark/>
          </w:tcPr>
          <w:p w14:paraId="28E12A75"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Segundo Plan de Acción de la Economía Circular</w:t>
            </w:r>
          </w:p>
        </w:tc>
        <w:tc>
          <w:tcPr>
            <w:tcW w:w="2552" w:type="dxa"/>
            <w:tcBorders>
              <w:top w:val="nil"/>
              <w:left w:val="nil"/>
              <w:bottom w:val="single" w:sz="4" w:space="0" w:color="auto"/>
              <w:right w:val="single" w:sz="4" w:space="0" w:color="auto"/>
            </w:tcBorders>
            <w:shd w:val="clear" w:color="auto" w:fill="auto"/>
            <w:vAlign w:val="center"/>
            <w:hideMark/>
          </w:tcPr>
          <w:p w14:paraId="61268313"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Unión Europea</w:t>
            </w:r>
          </w:p>
        </w:tc>
        <w:tc>
          <w:tcPr>
            <w:tcW w:w="1662" w:type="dxa"/>
            <w:tcBorders>
              <w:top w:val="nil"/>
              <w:left w:val="nil"/>
              <w:bottom w:val="single" w:sz="4" w:space="0" w:color="auto"/>
              <w:right w:val="single" w:sz="4" w:space="0" w:color="auto"/>
            </w:tcBorders>
            <w:shd w:val="clear" w:color="auto" w:fill="auto"/>
            <w:vAlign w:val="center"/>
            <w:hideMark/>
          </w:tcPr>
          <w:p w14:paraId="1D7F4F10" w14:textId="77777777" w:rsidR="006B00F0" w:rsidRPr="00AB1C80" w:rsidRDefault="006B00F0" w:rsidP="00AB1C80">
            <w:pPr>
              <w:spacing w:line="276" w:lineRule="auto"/>
              <w:jc w:val="center"/>
              <w:rPr>
                <w:rFonts w:eastAsia="Times New Roman" w:cs="Arial"/>
                <w:color w:val="000000"/>
                <w:sz w:val="20"/>
                <w:szCs w:val="20"/>
                <w:lang w:eastAsia="es-CO"/>
              </w:rPr>
            </w:pPr>
            <w:r w:rsidRPr="00AB1C80">
              <w:rPr>
                <w:rFonts w:eastAsia="Times New Roman" w:cs="Arial"/>
                <w:color w:val="000000"/>
                <w:sz w:val="20"/>
                <w:szCs w:val="20"/>
                <w:lang w:eastAsia="es-CO"/>
              </w:rPr>
              <w:t>2020</w:t>
            </w:r>
          </w:p>
        </w:tc>
        <w:tc>
          <w:tcPr>
            <w:tcW w:w="5142" w:type="dxa"/>
            <w:tcBorders>
              <w:top w:val="nil"/>
              <w:left w:val="nil"/>
              <w:bottom w:val="single" w:sz="4" w:space="0" w:color="auto"/>
              <w:right w:val="single" w:sz="4" w:space="0" w:color="auto"/>
            </w:tcBorders>
            <w:shd w:val="clear" w:color="auto" w:fill="auto"/>
            <w:vAlign w:val="center"/>
            <w:hideMark/>
          </w:tcPr>
          <w:p w14:paraId="3808E684" w14:textId="77777777" w:rsidR="006B00F0" w:rsidRPr="00AB1C80" w:rsidRDefault="006B00F0" w:rsidP="00AB1C80">
            <w:pPr>
              <w:spacing w:line="276" w:lineRule="auto"/>
              <w:rPr>
                <w:rFonts w:eastAsia="Times New Roman" w:cs="Arial"/>
                <w:color w:val="000000"/>
                <w:sz w:val="20"/>
                <w:szCs w:val="20"/>
                <w:lang w:eastAsia="es-CO"/>
              </w:rPr>
            </w:pPr>
            <w:r w:rsidRPr="00AB1C80">
              <w:rPr>
                <w:rFonts w:eastAsia="Times New Roman" w:cs="Arial"/>
                <w:color w:val="000000"/>
                <w:sz w:val="20"/>
                <w:szCs w:val="20"/>
                <w:lang w:eastAsia="es-CO"/>
              </w:rPr>
              <w:t>“Plan de Acción de Economía Circular para una Europa más limpia y competitiva”. El nuevo Plan de acción anuncia iniciativas a lo largo de todo el ciclo de vida de los productos, apuntando, por ejemplo, a su diseño, promoviendo procesos de economía circular, fomentando el consumo sostenible y apuntando a garantizar que los recursos utilizados se mantengan en la economía de la UE durante el mayor tiempo posible.</w:t>
            </w:r>
          </w:p>
        </w:tc>
      </w:tr>
    </w:tbl>
    <w:p w14:paraId="5C2CDA57" w14:textId="77777777" w:rsidR="00D61A51" w:rsidRPr="00AB1C80" w:rsidRDefault="00D61A51" w:rsidP="00AB1C80">
      <w:pPr>
        <w:spacing w:line="276" w:lineRule="auto"/>
        <w:rPr>
          <w:rFonts w:cs="Arial"/>
          <w:color w:val="000000" w:themeColor="text1"/>
          <w:szCs w:val="24"/>
        </w:rPr>
      </w:pPr>
    </w:p>
    <w:p w14:paraId="6C9D10E1" w14:textId="77777777" w:rsidR="00D61A51" w:rsidRPr="00AB1C80" w:rsidRDefault="00D61A51" w:rsidP="00AB1C80">
      <w:pPr>
        <w:spacing w:line="276" w:lineRule="auto"/>
        <w:rPr>
          <w:rFonts w:cs="Arial"/>
          <w:color w:val="000000" w:themeColor="text1"/>
          <w:szCs w:val="24"/>
        </w:rPr>
      </w:pPr>
    </w:p>
    <w:p w14:paraId="3EC1837D" w14:textId="3FC1105A" w:rsidR="00D61A51" w:rsidRPr="00AB1C80" w:rsidRDefault="00D61A51" w:rsidP="00AB1C80">
      <w:pPr>
        <w:spacing w:line="276" w:lineRule="auto"/>
        <w:rPr>
          <w:rFonts w:cs="Arial"/>
          <w:color w:val="000000" w:themeColor="text1"/>
          <w:szCs w:val="24"/>
        </w:rPr>
        <w:sectPr w:rsidR="00D61A51" w:rsidRPr="00AB1C80" w:rsidSect="00D61A51">
          <w:pgSz w:w="15840" w:h="12240" w:orient="landscape"/>
          <w:pgMar w:top="1701" w:right="1418" w:bottom="1701" w:left="1418" w:header="709" w:footer="709" w:gutter="0"/>
          <w:cols w:space="708"/>
          <w:docGrid w:linePitch="360"/>
        </w:sectPr>
      </w:pPr>
    </w:p>
    <w:p w14:paraId="79602227" w14:textId="6DB146BB" w:rsidR="007771BA" w:rsidRPr="00AB1C80" w:rsidRDefault="007771BA" w:rsidP="00AB1C80">
      <w:pPr>
        <w:pStyle w:val="Ttulo1"/>
        <w:spacing w:line="276" w:lineRule="auto"/>
        <w:rPr>
          <w:rFonts w:cs="Arial"/>
          <w:szCs w:val="24"/>
          <w:lang w:val="es-CO"/>
        </w:rPr>
      </w:pPr>
      <w:bookmarkStart w:id="136" w:name="_Toc86332943"/>
      <w:r w:rsidRPr="00AB1C80">
        <w:rPr>
          <w:rFonts w:cs="Arial"/>
          <w:szCs w:val="24"/>
          <w:lang w:val="es-CO"/>
        </w:rPr>
        <w:lastRenderedPageBreak/>
        <w:t>RECOLECCIÓN DE INFORMACIÓN DE FUENTES PRIMARIA</w:t>
      </w:r>
      <w:r w:rsidR="000C45EA" w:rsidRPr="00AB1C80">
        <w:rPr>
          <w:rFonts w:cs="Arial"/>
          <w:szCs w:val="24"/>
          <w:lang w:val="es-CO"/>
        </w:rPr>
        <w:t>S</w:t>
      </w:r>
      <w:bookmarkEnd w:id="136"/>
    </w:p>
    <w:p w14:paraId="00916B47" w14:textId="57B6EC67" w:rsidR="008D4C32" w:rsidRPr="00AB1C80" w:rsidRDefault="008D4C32" w:rsidP="00AB1C80">
      <w:pPr>
        <w:spacing w:line="276" w:lineRule="auto"/>
        <w:rPr>
          <w:rFonts w:cs="Arial"/>
          <w:color w:val="000000" w:themeColor="text1"/>
          <w:szCs w:val="24"/>
        </w:rPr>
      </w:pPr>
    </w:p>
    <w:p w14:paraId="18796F5D" w14:textId="7EB85AB9" w:rsidR="001D15B4" w:rsidRPr="00AB1C80" w:rsidRDefault="00B3553D" w:rsidP="00AB1C80">
      <w:pPr>
        <w:spacing w:line="276" w:lineRule="auto"/>
        <w:rPr>
          <w:rFonts w:cs="Arial"/>
          <w:color w:val="000000" w:themeColor="text1"/>
          <w:szCs w:val="24"/>
        </w:rPr>
      </w:pPr>
      <w:r w:rsidRPr="00AB1C80">
        <w:rPr>
          <w:rFonts w:cs="Arial"/>
        </w:rPr>
        <w:t>Para la recolección de la información primaria, se realizaron reuniones con empresas y mesas de trabajo con actores del sector minero. Abordando los ejes temáticos relacionados al manejo del estéril y economía circular en minería, identificando buenas prácticas, experiencias, le</w:t>
      </w:r>
      <w:r w:rsidR="00FD7604" w:rsidRPr="00AB1C80">
        <w:rPr>
          <w:rFonts w:cs="Arial"/>
        </w:rPr>
        <w:t>cc</w:t>
      </w:r>
      <w:r w:rsidRPr="00AB1C80">
        <w:rPr>
          <w:rFonts w:cs="Arial"/>
        </w:rPr>
        <w:t>iones aprendidas, e impedimentos (técnicos, ambientales, económicos y sociales) asociados a los procesos y proyectos relacionados con la gestión de los estériles e implementación de estrategias de economía circular en el sector.</w:t>
      </w:r>
    </w:p>
    <w:p w14:paraId="05B1F6B7" w14:textId="77777777" w:rsidR="001D15B4" w:rsidRPr="00AB1C80" w:rsidRDefault="001D15B4" w:rsidP="00AB1C80">
      <w:pPr>
        <w:spacing w:line="276" w:lineRule="auto"/>
        <w:rPr>
          <w:rFonts w:cs="Arial"/>
          <w:color w:val="000000" w:themeColor="text1"/>
          <w:szCs w:val="24"/>
        </w:rPr>
      </w:pPr>
    </w:p>
    <w:p w14:paraId="73E51F54" w14:textId="540AB7C8" w:rsidR="00C050E9" w:rsidRPr="00AB1C80" w:rsidRDefault="00C050E9" w:rsidP="00AB1C80">
      <w:pPr>
        <w:pStyle w:val="Ttulo2"/>
        <w:spacing w:line="276" w:lineRule="auto"/>
        <w:rPr>
          <w:rFonts w:cs="Arial"/>
        </w:rPr>
      </w:pPr>
      <w:bookmarkStart w:id="137" w:name="_Toc57315073"/>
      <w:bookmarkStart w:id="138" w:name="_Toc86332944"/>
      <w:r w:rsidRPr="00AB1C80">
        <w:rPr>
          <w:rFonts w:cs="Arial"/>
        </w:rPr>
        <w:t>Reuniones con empresas mineras</w:t>
      </w:r>
      <w:bookmarkEnd w:id="137"/>
      <w:bookmarkEnd w:id="138"/>
    </w:p>
    <w:p w14:paraId="3A394ACC" w14:textId="42F75777" w:rsidR="00FE6E54" w:rsidRPr="00AB1C80" w:rsidRDefault="00FE6E54" w:rsidP="00AB1C80">
      <w:pPr>
        <w:spacing w:line="276" w:lineRule="auto"/>
        <w:rPr>
          <w:rFonts w:cs="Arial"/>
        </w:rPr>
      </w:pPr>
    </w:p>
    <w:p w14:paraId="3466DECD" w14:textId="77777777" w:rsidR="000C5A83" w:rsidRPr="00AB1C80" w:rsidRDefault="000C5A83" w:rsidP="00AB1C80">
      <w:pPr>
        <w:spacing w:line="276" w:lineRule="auto"/>
        <w:rPr>
          <w:rFonts w:cs="Arial"/>
          <w:szCs w:val="24"/>
        </w:rPr>
      </w:pPr>
      <w:r w:rsidRPr="00AB1C80">
        <w:rPr>
          <w:rFonts w:cs="Arial"/>
          <w:szCs w:val="24"/>
        </w:rPr>
        <w:t>A la fecha del presente documento se realizaron nueve</w:t>
      </w:r>
      <w:r w:rsidR="00FE6E54" w:rsidRPr="00AB1C80">
        <w:rPr>
          <w:rFonts w:cs="Arial"/>
          <w:szCs w:val="24"/>
        </w:rPr>
        <w:t xml:space="preserve"> </w:t>
      </w:r>
      <w:r w:rsidR="00FE6E54" w:rsidRPr="00AB1C80">
        <w:rPr>
          <w:rFonts w:cs="Arial"/>
          <w:b/>
          <w:szCs w:val="24"/>
        </w:rPr>
        <w:t>(</w:t>
      </w:r>
      <w:r w:rsidRPr="00AB1C80">
        <w:rPr>
          <w:rFonts w:cs="Arial"/>
          <w:b/>
          <w:szCs w:val="24"/>
        </w:rPr>
        <w:t>9</w:t>
      </w:r>
      <w:r w:rsidR="00FE6E54" w:rsidRPr="00AB1C80">
        <w:rPr>
          <w:rFonts w:cs="Arial"/>
          <w:b/>
          <w:szCs w:val="24"/>
        </w:rPr>
        <w:t xml:space="preserve">) </w:t>
      </w:r>
      <w:r w:rsidR="00FE6E54" w:rsidRPr="00AB1C80">
        <w:rPr>
          <w:rFonts w:cs="Arial"/>
          <w:szCs w:val="24"/>
        </w:rPr>
        <w:t>reuniones con empresas mineras</w:t>
      </w:r>
      <w:r w:rsidRPr="00AB1C80">
        <w:rPr>
          <w:rFonts w:cs="Arial"/>
          <w:szCs w:val="24"/>
        </w:rPr>
        <w:t>, las cuales corresponden a: Sumicol S.A., Drummond Ltd., Uniminas S.A.,</w:t>
      </w:r>
    </w:p>
    <w:p w14:paraId="25E34487" w14:textId="7B7D1D6B" w:rsidR="00FE6E54" w:rsidRPr="00AB1C80" w:rsidRDefault="000C5A83" w:rsidP="00AB1C80">
      <w:pPr>
        <w:spacing w:line="276" w:lineRule="auto"/>
        <w:rPr>
          <w:rFonts w:cs="Arial"/>
          <w:szCs w:val="24"/>
        </w:rPr>
      </w:pPr>
      <w:r w:rsidRPr="00AB1C80">
        <w:rPr>
          <w:rFonts w:cs="Arial"/>
          <w:szCs w:val="24"/>
        </w:rPr>
        <w:t>Cementos Argos, Miraflores Compañía Minera S.A.S., Minera Las Brisas de Colombia S.A.S., Fundación San Antonio, Gran Colombia Gold Segovia S.A. y Cemex Colombia S.A.</w:t>
      </w:r>
      <w:r w:rsidR="00FE6E54" w:rsidRPr="00AB1C80">
        <w:rPr>
          <w:rFonts w:cs="Arial"/>
          <w:szCs w:val="24"/>
        </w:rPr>
        <w:t xml:space="preserve">, (ver </w:t>
      </w:r>
      <w:r w:rsidR="00FE6E54" w:rsidRPr="00AB1C80">
        <w:rPr>
          <w:rFonts w:cs="Arial"/>
          <w:b/>
          <w:szCs w:val="24"/>
        </w:rPr>
        <w:fldChar w:fldCharType="begin"/>
      </w:r>
      <w:r w:rsidR="00FE6E54" w:rsidRPr="00AB1C80">
        <w:rPr>
          <w:rFonts w:cs="Arial"/>
          <w:b/>
          <w:szCs w:val="24"/>
        </w:rPr>
        <w:instrText xml:space="preserve"> REF _Ref55304952 \h  \* MERGEFORMAT </w:instrText>
      </w:r>
      <w:r w:rsidR="00FE6E54" w:rsidRPr="00AB1C80">
        <w:rPr>
          <w:rFonts w:cs="Arial"/>
          <w:b/>
          <w:szCs w:val="24"/>
        </w:rPr>
      </w:r>
      <w:r w:rsidR="00FE6E54" w:rsidRPr="00AB1C80">
        <w:rPr>
          <w:rFonts w:cs="Arial"/>
          <w:b/>
          <w:szCs w:val="24"/>
        </w:rPr>
        <w:fldChar w:fldCharType="separate"/>
      </w:r>
      <w:r w:rsidR="00AB1C80" w:rsidRPr="00AB1C80">
        <w:rPr>
          <w:rFonts w:cs="Arial"/>
          <w:b/>
          <w:szCs w:val="24"/>
        </w:rPr>
        <w:t xml:space="preserve">Tabla </w:t>
      </w:r>
      <w:r w:rsidR="00AB1C80" w:rsidRPr="00AB1C80">
        <w:rPr>
          <w:rFonts w:cs="Arial"/>
          <w:b/>
          <w:noProof/>
          <w:szCs w:val="24"/>
        </w:rPr>
        <w:t>33</w:t>
      </w:r>
      <w:r w:rsidR="00FE6E54" w:rsidRPr="00AB1C80">
        <w:rPr>
          <w:rFonts w:cs="Arial"/>
          <w:b/>
          <w:szCs w:val="24"/>
        </w:rPr>
        <w:fldChar w:fldCharType="end"/>
      </w:r>
      <w:r w:rsidR="00FE6E54" w:rsidRPr="00AB1C80">
        <w:rPr>
          <w:rFonts w:cs="Arial"/>
          <w:szCs w:val="24"/>
        </w:rPr>
        <w:t>).</w:t>
      </w:r>
    </w:p>
    <w:p w14:paraId="200C631A" w14:textId="77777777" w:rsidR="00FE6E54" w:rsidRPr="00AB1C80" w:rsidRDefault="00FE6E54" w:rsidP="00AB1C80">
      <w:pPr>
        <w:spacing w:line="276" w:lineRule="auto"/>
        <w:rPr>
          <w:rFonts w:cs="Arial"/>
        </w:rPr>
      </w:pPr>
    </w:p>
    <w:p w14:paraId="6D90DE87" w14:textId="77777777" w:rsidR="00A93FCE" w:rsidRPr="00AB1C80" w:rsidRDefault="00A93FCE" w:rsidP="00AB1C80">
      <w:pPr>
        <w:spacing w:line="276" w:lineRule="auto"/>
        <w:rPr>
          <w:rFonts w:cs="Arial"/>
          <w:color w:val="000000" w:themeColor="text1"/>
          <w:szCs w:val="24"/>
        </w:rPr>
      </w:pPr>
    </w:p>
    <w:p w14:paraId="655F730F" w14:textId="4A3A3D45" w:rsidR="000C5A83" w:rsidRPr="00AB1C80" w:rsidRDefault="000C5A83" w:rsidP="00AB1C80">
      <w:pPr>
        <w:spacing w:line="276" w:lineRule="auto"/>
        <w:rPr>
          <w:rFonts w:cs="Arial"/>
          <w:color w:val="000000" w:themeColor="text1"/>
          <w:szCs w:val="24"/>
        </w:rPr>
        <w:sectPr w:rsidR="000C5A83" w:rsidRPr="00AB1C80" w:rsidSect="007402D4">
          <w:pgSz w:w="12240" w:h="15840"/>
          <w:pgMar w:top="1418" w:right="1701" w:bottom="1418" w:left="1701" w:header="709" w:footer="709" w:gutter="0"/>
          <w:cols w:space="708"/>
          <w:docGrid w:linePitch="360"/>
        </w:sectPr>
      </w:pPr>
    </w:p>
    <w:p w14:paraId="794133D8" w14:textId="63749ADF" w:rsidR="000C5A83" w:rsidRPr="00AB1C80" w:rsidRDefault="000C5A83" w:rsidP="00AB1C80">
      <w:pPr>
        <w:pStyle w:val="FigurayTabla"/>
        <w:spacing w:line="276" w:lineRule="auto"/>
        <w:rPr>
          <w:rFonts w:cs="Arial"/>
          <w:lang w:val="es-CO"/>
        </w:rPr>
      </w:pPr>
      <w:bookmarkStart w:id="139" w:name="_Ref55304952"/>
      <w:bookmarkStart w:id="140" w:name="_Toc55305940"/>
      <w:bookmarkStart w:id="141" w:name="_Toc57315119"/>
      <w:bookmarkStart w:id="142" w:name="_Toc57372250"/>
      <w:bookmarkStart w:id="143" w:name="_Toc86333038"/>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33</w:t>
      </w:r>
      <w:r w:rsidRPr="00AB1C80">
        <w:rPr>
          <w:rFonts w:cs="Arial"/>
          <w:lang w:val="es-CO"/>
        </w:rPr>
        <w:fldChar w:fldCharType="end"/>
      </w:r>
      <w:bookmarkEnd w:id="139"/>
      <w:r w:rsidRPr="00AB1C80">
        <w:rPr>
          <w:rFonts w:cs="Arial"/>
          <w:lang w:val="es-CO"/>
        </w:rPr>
        <w:t>. Aspectos importantes de las reuniones con Empresas Mineras.</w:t>
      </w:r>
      <w:bookmarkEnd w:id="140"/>
      <w:bookmarkEnd w:id="141"/>
      <w:bookmarkEnd w:id="142"/>
      <w:bookmarkEnd w:id="143"/>
    </w:p>
    <w:tbl>
      <w:tblPr>
        <w:tblW w:w="14312" w:type="dxa"/>
        <w:jc w:val="center"/>
        <w:tblCellMar>
          <w:left w:w="70" w:type="dxa"/>
          <w:right w:w="70" w:type="dxa"/>
        </w:tblCellMar>
        <w:tblLook w:val="04A0" w:firstRow="1" w:lastRow="0" w:firstColumn="1" w:lastColumn="0" w:noHBand="0" w:noVBand="1"/>
      </w:tblPr>
      <w:tblGrid>
        <w:gridCol w:w="1980"/>
        <w:gridCol w:w="1701"/>
        <w:gridCol w:w="5528"/>
        <w:gridCol w:w="5103"/>
      </w:tblGrid>
      <w:tr w:rsidR="005A583B" w:rsidRPr="00AB1C80" w14:paraId="475A452A" w14:textId="77777777" w:rsidTr="008575F9">
        <w:trPr>
          <w:trHeight w:val="283"/>
          <w:tblHeader/>
          <w:jc w:val="center"/>
        </w:trPr>
        <w:tc>
          <w:tcPr>
            <w:tcW w:w="14312" w:type="dxa"/>
            <w:gridSpan w:val="4"/>
            <w:tcBorders>
              <w:top w:val="single" w:sz="4" w:space="0" w:color="auto"/>
              <w:left w:val="single" w:sz="4" w:space="0" w:color="auto"/>
              <w:bottom w:val="single" w:sz="4" w:space="0" w:color="auto"/>
              <w:right w:val="single" w:sz="4" w:space="0" w:color="auto"/>
            </w:tcBorders>
            <w:shd w:val="clear" w:color="000000" w:fill="1E345C"/>
            <w:vAlign w:val="center"/>
          </w:tcPr>
          <w:p w14:paraId="69BB0922"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EMPRESAS MINERAS</w:t>
            </w:r>
          </w:p>
        </w:tc>
      </w:tr>
      <w:tr w:rsidR="005A583B" w:rsidRPr="00AB1C80" w14:paraId="4A2FA592" w14:textId="77777777" w:rsidTr="008575F9">
        <w:trPr>
          <w:trHeight w:val="283"/>
          <w:tblHeader/>
          <w:jc w:val="center"/>
        </w:trPr>
        <w:tc>
          <w:tcPr>
            <w:tcW w:w="1980" w:type="dxa"/>
            <w:tcBorders>
              <w:top w:val="nil"/>
              <w:left w:val="single" w:sz="4" w:space="0" w:color="auto"/>
              <w:bottom w:val="single" w:sz="4" w:space="0" w:color="auto"/>
              <w:right w:val="single" w:sz="4" w:space="0" w:color="auto"/>
            </w:tcBorders>
            <w:shd w:val="clear" w:color="000000" w:fill="1E345C"/>
            <w:vAlign w:val="center"/>
            <w:hideMark/>
          </w:tcPr>
          <w:p w14:paraId="6D1C3C50"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Empresa</w:t>
            </w:r>
          </w:p>
        </w:tc>
        <w:tc>
          <w:tcPr>
            <w:tcW w:w="1701" w:type="dxa"/>
            <w:tcBorders>
              <w:top w:val="nil"/>
              <w:left w:val="nil"/>
              <w:bottom w:val="single" w:sz="4" w:space="0" w:color="auto"/>
              <w:right w:val="single" w:sz="4" w:space="0" w:color="auto"/>
            </w:tcBorders>
            <w:shd w:val="clear" w:color="000000" w:fill="1E345C"/>
            <w:vAlign w:val="center"/>
            <w:hideMark/>
          </w:tcPr>
          <w:p w14:paraId="6F42C404"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Fecha de Reunión</w:t>
            </w:r>
          </w:p>
        </w:tc>
        <w:tc>
          <w:tcPr>
            <w:tcW w:w="5528" w:type="dxa"/>
            <w:tcBorders>
              <w:top w:val="nil"/>
              <w:left w:val="nil"/>
              <w:bottom w:val="single" w:sz="4" w:space="0" w:color="auto"/>
              <w:right w:val="single" w:sz="4" w:space="0" w:color="auto"/>
            </w:tcBorders>
            <w:shd w:val="clear" w:color="000000" w:fill="1E345C"/>
            <w:vAlign w:val="center"/>
            <w:hideMark/>
          </w:tcPr>
          <w:p w14:paraId="6F66D080"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Aspectos Importantes Gestión y Manejo de Estériles</w:t>
            </w:r>
          </w:p>
        </w:tc>
        <w:tc>
          <w:tcPr>
            <w:tcW w:w="5103" w:type="dxa"/>
            <w:tcBorders>
              <w:top w:val="nil"/>
              <w:left w:val="nil"/>
              <w:bottom w:val="single" w:sz="4" w:space="0" w:color="auto"/>
              <w:right w:val="single" w:sz="4" w:space="0" w:color="auto"/>
            </w:tcBorders>
            <w:shd w:val="clear" w:color="000000" w:fill="1E345C"/>
            <w:vAlign w:val="center"/>
            <w:hideMark/>
          </w:tcPr>
          <w:p w14:paraId="5659B2DD"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Aspectos Importantes Economía Circular</w:t>
            </w:r>
          </w:p>
        </w:tc>
      </w:tr>
      <w:tr w:rsidR="005A583B" w:rsidRPr="00AB1C80" w14:paraId="5AA49253"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20EFB15A"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Sumicol S.A.</w:t>
            </w:r>
          </w:p>
        </w:tc>
        <w:tc>
          <w:tcPr>
            <w:tcW w:w="1701" w:type="dxa"/>
            <w:tcBorders>
              <w:top w:val="nil"/>
              <w:left w:val="nil"/>
              <w:bottom w:val="single" w:sz="4" w:space="0" w:color="auto"/>
              <w:right w:val="single" w:sz="4" w:space="0" w:color="auto"/>
            </w:tcBorders>
            <w:shd w:val="clear" w:color="auto" w:fill="auto"/>
            <w:vAlign w:val="center"/>
            <w:hideMark/>
          </w:tcPr>
          <w:p w14:paraId="26737EF9"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martes, 05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37DACF8E"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El manejo del estéril generado en los diferentes proyectos mineros desarrollados por Sumicol S.A es un ejemplo claro de cómo es posible tener una adecuada gestión del estéril volviéndolo un material aprovechable, usándolo en diferentes actividades del proyecto minero, o como materia prima para la elaboración de diversos productos, sin tener que contar con escombreras para el depósito permanente del material. Es de anotar que este caso de éxito es el resultado del desarrollo de procesos estructurados desarrollados a partir de resultados obtenidos en la caracterización detallada del material y diferentes procesos de investigación al interior de la compañía.</w:t>
            </w:r>
          </w:p>
        </w:tc>
        <w:tc>
          <w:tcPr>
            <w:tcW w:w="5103" w:type="dxa"/>
            <w:tcBorders>
              <w:top w:val="nil"/>
              <w:left w:val="nil"/>
              <w:bottom w:val="single" w:sz="4" w:space="0" w:color="auto"/>
              <w:right w:val="single" w:sz="4" w:space="0" w:color="auto"/>
            </w:tcBorders>
            <w:shd w:val="clear" w:color="auto" w:fill="auto"/>
            <w:vAlign w:val="center"/>
            <w:hideMark/>
          </w:tcPr>
          <w:p w14:paraId="60593DCC" w14:textId="2527C625" w:rsidR="005A583B" w:rsidRPr="00AB1C80" w:rsidRDefault="005A583B" w:rsidP="00AB1C80">
            <w:pPr>
              <w:spacing w:line="276" w:lineRule="auto"/>
              <w:rPr>
                <w:rFonts w:eastAsia="Times New Roman" w:cs="Arial"/>
                <w:bCs/>
                <w:color w:val="000000"/>
                <w:sz w:val="18"/>
                <w:szCs w:val="18"/>
                <w:lang w:eastAsia="es-CO"/>
              </w:rPr>
            </w:pPr>
            <w:r w:rsidRPr="00AB1C80">
              <w:rPr>
                <w:rFonts w:eastAsia="Times New Roman" w:cs="Arial"/>
                <w:bCs/>
                <w:color w:val="000000"/>
                <w:sz w:val="18"/>
                <w:szCs w:val="18"/>
                <w:lang w:eastAsia="es-CO"/>
              </w:rPr>
              <w:t xml:space="preserve">Este proyecto es un ejemplo claro de la simbiosis industrial, ya que cuenta con diferentes procesos de transformación de minerales no metálicos con los cuales se realizan mezclas dando valor agregado a estos, para su posterior uso en partes o moldes en bruto hacia la conformación de piezas para las industrias en la fabricación de cerámica y vidrio como línea de negocio, principalmente a Corona; la dependencia de gestión ambiental y responsabilidad social corporativa de corona, es una de las encargadas del manejo referente hacia la economía circular en su proceso productivo. </w:t>
            </w:r>
            <w:r w:rsidR="00A54D0A" w:rsidRPr="00AB1C80">
              <w:rPr>
                <w:rFonts w:eastAsia="Times New Roman" w:cs="Arial"/>
                <w:bCs/>
                <w:color w:val="000000"/>
                <w:sz w:val="18"/>
                <w:szCs w:val="18"/>
                <w:lang w:eastAsia="es-CO"/>
              </w:rPr>
              <w:t>De acuerdo con el</w:t>
            </w:r>
            <w:r w:rsidRPr="00AB1C80">
              <w:rPr>
                <w:rFonts w:eastAsia="Times New Roman" w:cs="Arial"/>
                <w:bCs/>
                <w:color w:val="000000"/>
                <w:sz w:val="18"/>
                <w:szCs w:val="18"/>
                <w:lang w:eastAsia="es-CO"/>
              </w:rPr>
              <w:t xml:space="preserve"> modelo Basura Cero propuesto para el sector minero, algunos minerales que se manejan dentro de las minas permiten que el agua pueda ser reutilizada de diferentes formas, con el fin de tener mayor aprovechamiento de este recurso. CORNARE es la encargada de ejecutar todas las actividades de seguimiento y control a los procesos del aprovechamiento de los recursos naturales.</w:t>
            </w:r>
          </w:p>
        </w:tc>
      </w:tr>
      <w:tr w:rsidR="005A583B" w:rsidRPr="00AB1C80" w14:paraId="0BD7FC07"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768E6479"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Drummond Ltd.</w:t>
            </w:r>
          </w:p>
        </w:tc>
        <w:tc>
          <w:tcPr>
            <w:tcW w:w="1701" w:type="dxa"/>
            <w:tcBorders>
              <w:top w:val="nil"/>
              <w:left w:val="nil"/>
              <w:bottom w:val="single" w:sz="4" w:space="0" w:color="auto"/>
              <w:right w:val="single" w:sz="4" w:space="0" w:color="auto"/>
            </w:tcBorders>
            <w:shd w:val="clear" w:color="auto" w:fill="auto"/>
            <w:vAlign w:val="center"/>
            <w:hideMark/>
          </w:tcPr>
          <w:p w14:paraId="4FB16C7E"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miércoles, 06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649C0566"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gestión y manejo del material estéril plantea diferentes alternativas de uso las cuales parten del conocimiento de las características y propiedades del material ya que no todo puede ser aprovechado o utilizado en procesos de retrollenado conforme al avance y necesidades del proyecto minero, recuperación del suelo intervenido, construcción y adecuación de vías internas, donación a la comunidad. El material que es depositado en escombreras debe estar dispuesto de tal manera que se tengan garantice la estabilidad del terreno, manejo adecuado de las aguas superficiales y subterráneas y márgenes de seguridad. En los proyectos mineros a cielo abierto el material estéril representa una alternativa de recuperación clara de las áreas intervenidas si te cuenta con una planificación adecuada desde el inicio del proyecto minero.</w:t>
            </w:r>
          </w:p>
        </w:tc>
        <w:tc>
          <w:tcPr>
            <w:tcW w:w="5103" w:type="dxa"/>
            <w:tcBorders>
              <w:top w:val="nil"/>
              <w:left w:val="nil"/>
              <w:bottom w:val="single" w:sz="4" w:space="0" w:color="auto"/>
              <w:right w:val="single" w:sz="4" w:space="0" w:color="auto"/>
            </w:tcBorders>
            <w:shd w:val="clear" w:color="auto" w:fill="auto"/>
            <w:vAlign w:val="center"/>
            <w:hideMark/>
          </w:tcPr>
          <w:p w14:paraId="5087FBE9"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Cuenta con una gestión ambiental efectiva que arranca desde el diseño del proyecto, en donde la caracterización de los recursos naturales existentes permite lograr diseños de proyectos que eviten impactos ambientales, desempeñando procesos exitosos hacia una economía circular, debido a su buena planificación y ejecución antes de iniciar cada proyecto. Acorde a lo anterior dentro de su modelo de economía circular, el mineral tiene un proceso de beneficio y transformación, así como la recuperación y reutilización del suelo y el reúso de las aguas residuales tratadas, entre otros. Hacia los aspectos considerados a incluir en la propuesta aplicarían a varias líneas estratégicas para la estructuración de lineamientos técnicos hacia las iniciativas desarrolladas como línea base y modelos de negocios circulares para minerales.</w:t>
            </w:r>
          </w:p>
        </w:tc>
      </w:tr>
      <w:tr w:rsidR="005A583B" w:rsidRPr="00AB1C80" w14:paraId="112FA408"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77EC5EF9"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Uniminas S.A.</w:t>
            </w:r>
          </w:p>
        </w:tc>
        <w:tc>
          <w:tcPr>
            <w:tcW w:w="1701" w:type="dxa"/>
            <w:tcBorders>
              <w:top w:val="nil"/>
              <w:left w:val="nil"/>
              <w:bottom w:val="single" w:sz="4" w:space="0" w:color="auto"/>
              <w:right w:val="single" w:sz="4" w:space="0" w:color="auto"/>
            </w:tcBorders>
            <w:shd w:val="clear" w:color="auto" w:fill="auto"/>
            <w:vAlign w:val="center"/>
            <w:hideMark/>
          </w:tcPr>
          <w:p w14:paraId="42046CC5"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miércoles, 06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3ECD9436" w14:textId="020E2F36"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Lo establecido en el instrumento ambiental aprobado para cada proyecto minero respecto al material estéril, es la hoja de ruta para su gestión a lo largo del ciclo de vida del proyecto, en el caso de Uniminas S.A.S la alternativa principal es su disposición en escombreras, seguida de la utilización del material en retrollenado de las labores mineras ejecutadas.  Es claro que una condicional para cualquier proyecto minero que quiera aprovechar el material estéril es el volumen de generación de este, ya que como lo mencionan únicamente los proyectos de pequeña y mediana minería pueden aprovechar un porcentaje considerable del material, en contraste a grandes proyectos en donde solo una pequeña fracción es aprovechable debido a la cantidad de material generado.</w:t>
            </w:r>
          </w:p>
        </w:tc>
        <w:tc>
          <w:tcPr>
            <w:tcW w:w="5103" w:type="dxa"/>
            <w:tcBorders>
              <w:top w:val="nil"/>
              <w:left w:val="nil"/>
              <w:bottom w:val="single" w:sz="4" w:space="0" w:color="auto"/>
              <w:right w:val="single" w:sz="4" w:space="0" w:color="auto"/>
            </w:tcBorders>
            <w:shd w:val="clear" w:color="auto" w:fill="auto"/>
            <w:vAlign w:val="center"/>
            <w:hideMark/>
          </w:tcPr>
          <w:p w14:paraId="6FBBC2DE"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Aunque existen diferentes perspectivas sobre qué es la economía circular no acoge todavía el concepto de economía circular dentro de sus procesos operativos, sin embargo se están desarrollando dos tesis de las cuales el objetivo general es la fabricación de bloques para la construcción a partir del material estéril como materia prima, igualmente la empresa cuenta con una planta de reciclaje donde se llevan diferentes residuos de tipo convencional generados por la empresa para su posterior aprovechamiento. Hacia los aspectos considerados a incluir en la propuesta aplicaría el desarrollo de la línea de acción de flujos de materiales de construcción hacia las iniciativas desarrolladas como línea base y modelos de negocios circulares.</w:t>
            </w:r>
          </w:p>
        </w:tc>
      </w:tr>
      <w:tr w:rsidR="005A583B" w:rsidRPr="00AB1C80" w14:paraId="308303B0"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BB4713D"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Cementos Argos</w:t>
            </w:r>
          </w:p>
        </w:tc>
        <w:tc>
          <w:tcPr>
            <w:tcW w:w="1701" w:type="dxa"/>
            <w:tcBorders>
              <w:top w:val="nil"/>
              <w:left w:val="nil"/>
              <w:bottom w:val="single" w:sz="4" w:space="0" w:color="auto"/>
              <w:right w:val="single" w:sz="4" w:space="0" w:color="auto"/>
            </w:tcBorders>
            <w:shd w:val="clear" w:color="auto" w:fill="auto"/>
            <w:vAlign w:val="center"/>
            <w:hideMark/>
          </w:tcPr>
          <w:p w14:paraId="0469230E"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jueves, 07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50728728"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El manejo del material estéril se realiza a partir de lo establecido en el instrumento ambiental y minero de cada proyecto, teniendo como punto de partida la caracterización del yacimiento y del estéril, con el fin de plantear alternativas de aprovechamiento. Estas alternativas no siempre se conciben desde el inicio del proyecto si no que se van dando durante ejecución de este y a partir de investigación se pueden lograr resultados exitosos como los mencionados por Cementos Argos la utilizar una gran cantidad del material estéril que antes era dispuesto en escombreras como materia prima o aditivo para la elaboración de sus productos.</w:t>
            </w:r>
          </w:p>
        </w:tc>
        <w:tc>
          <w:tcPr>
            <w:tcW w:w="5103" w:type="dxa"/>
            <w:tcBorders>
              <w:top w:val="nil"/>
              <w:left w:val="nil"/>
              <w:bottom w:val="single" w:sz="4" w:space="0" w:color="auto"/>
              <w:right w:val="single" w:sz="4" w:space="0" w:color="auto"/>
            </w:tcBorders>
            <w:shd w:val="clear" w:color="auto" w:fill="auto"/>
            <w:vAlign w:val="center"/>
            <w:hideMark/>
          </w:tcPr>
          <w:p w14:paraId="54B7F6C7" w14:textId="3A9D7CC3"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La organización se reinventa constantemente para mantener su ventaja competitiva y avanzar hacia la sostenibilidad. Por esto investiga y trabaja en la optimización de procesos, el desarrollo de nuevos productos y servicios, la generación de nuevos modelos de negocio, el fortalecimiento de la cadena de valor y el desarrollo de las comunidades de su área de influencia. Además, cuenta con uno de los mecanismos de gestión y líneas de acción definidos dentro de la estrategia nacional de economía circular de los cuales las entidades del estado facilitan la transformación hacia la economía circular, en este caso los subproductos que se generan a partir del proceso del cemento. Los aspectos considerados a incluir en la propuesta aplicarían a varias líneas estratégicas para la estructuración de lineamientos técnicos hacia nuevos modelos de negocios circulares para minerales, la implementación en el proceso productivo y las mejores técnicas y tecnologías disponibles. Asimismo, es un ejemplo claro sobre el tipo de </w:t>
            </w:r>
            <w:r w:rsidRPr="00AB1C80">
              <w:rPr>
                <w:rFonts w:eastAsia="Times New Roman" w:cs="Arial"/>
                <w:bCs/>
                <w:color w:val="000000"/>
                <w:sz w:val="18"/>
                <w:szCs w:val="18"/>
                <w:lang w:eastAsia="es-CO"/>
              </w:rPr>
              <w:t>simbiosis industrial</w:t>
            </w:r>
            <w:r w:rsidRPr="00AB1C80">
              <w:rPr>
                <w:rFonts w:eastAsia="Times New Roman" w:cs="Arial"/>
                <w:color w:val="000000"/>
                <w:sz w:val="18"/>
                <w:szCs w:val="18"/>
                <w:lang w:eastAsia="es-CO"/>
              </w:rPr>
              <w:t xml:space="preserve"> que se desarrollan dentro del proyecto en particular.</w:t>
            </w:r>
          </w:p>
        </w:tc>
      </w:tr>
      <w:tr w:rsidR="005A583B" w:rsidRPr="00AB1C80" w14:paraId="34DED49A"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2D315726"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Miraflores Compañía Minera S.A.S.</w:t>
            </w:r>
          </w:p>
        </w:tc>
        <w:tc>
          <w:tcPr>
            <w:tcW w:w="1701" w:type="dxa"/>
            <w:tcBorders>
              <w:top w:val="nil"/>
              <w:left w:val="nil"/>
              <w:bottom w:val="single" w:sz="4" w:space="0" w:color="auto"/>
              <w:right w:val="single" w:sz="4" w:space="0" w:color="auto"/>
            </w:tcBorders>
            <w:shd w:val="clear" w:color="auto" w:fill="auto"/>
            <w:vAlign w:val="center"/>
            <w:hideMark/>
          </w:tcPr>
          <w:p w14:paraId="58E908F9"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viernes, 08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7F0A0CD3"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planeación de la gestión del material estéril, alternativas de disposición y aprovechamiento deben concebirse desde la fase de exploración de los proyectos mineros siendo fundamental realizar un análisis detallado de las características del material y posibilidades de uso, ya que quedaran consignadas en el instrumento, ambiental y minero siendo una directriz a lo largo del desarrollo del proyecto en todas las etapas de su ciclo de vida.  La alternativa principal de disposición corresponde a depositar el material en escombreras como lo indica la empresa Miraflores Compañía Minera S.A.S. a su vez existe la posibilidad de realizar retrollenado alternativa plausible en búsqueda de lograr la estabilidad física de las áreas donde se desarrolle el proyecto minero.</w:t>
            </w:r>
          </w:p>
        </w:tc>
        <w:tc>
          <w:tcPr>
            <w:tcW w:w="5103" w:type="dxa"/>
            <w:tcBorders>
              <w:top w:val="nil"/>
              <w:left w:val="nil"/>
              <w:bottom w:val="single" w:sz="4" w:space="0" w:color="auto"/>
              <w:right w:val="single" w:sz="4" w:space="0" w:color="auto"/>
            </w:tcBorders>
            <w:shd w:val="clear" w:color="auto" w:fill="auto"/>
            <w:vAlign w:val="center"/>
            <w:hideMark/>
          </w:tcPr>
          <w:p w14:paraId="3F9AE8B9" w14:textId="5ED811BC"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Aunque el proyecto se encuentra en etapa de exploración, se evidencia que se han desarrollado procesos de economía circular para residuos asociados a la exploración del mineral, así como para corrientes de residuos catalogados como convencionales, especiales y peligrosos. Para el caso específico de los residuos del proceso que están asociados con la generación de lodos residuales, el proyecto se encuentra en pruebas para la fabricación de ladrillos las cuales han arrojado que estos pueden ser catalogados óptimos con porcentaje de uso de lodos en la mezcla del 30%. Actualmente los lodos una vez son deshidratados se llevan a disposición final ya que no arrojaron características de peligrosidad según análisis de laboratorio. En relación con el uso de agua en el proceso se cuenta con ciclos cerrados, en donde el agua es recirculada y se realiza uso de agua lluvias tato en plataformas como en el área de corte de núcleos. Se contempla en el componente energético el uso de paneles solares. </w:t>
            </w:r>
          </w:p>
        </w:tc>
      </w:tr>
      <w:tr w:rsidR="005A583B" w:rsidRPr="00AB1C80" w14:paraId="256BCC4D"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38EF827"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Minera Las Brisas de Colombia S.A.S.</w:t>
            </w:r>
          </w:p>
        </w:tc>
        <w:tc>
          <w:tcPr>
            <w:tcW w:w="1701" w:type="dxa"/>
            <w:tcBorders>
              <w:top w:val="nil"/>
              <w:left w:val="nil"/>
              <w:bottom w:val="single" w:sz="4" w:space="0" w:color="auto"/>
              <w:right w:val="single" w:sz="4" w:space="0" w:color="auto"/>
            </w:tcBorders>
            <w:shd w:val="clear" w:color="auto" w:fill="auto"/>
            <w:vAlign w:val="center"/>
            <w:hideMark/>
          </w:tcPr>
          <w:p w14:paraId="7ED2D2B2"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martes, 12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78E9F165" w14:textId="1C54D7F1" w:rsidR="005A583B" w:rsidRPr="00AB1C80" w:rsidRDefault="00D935B9" w:rsidP="00AB1C80">
            <w:pPr>
              <w:spacing w:line="276" w:lineRule="auto"/>
              <w:rPr>
                <w:rFonts w:eastAsia="Times New Roman" w:cs="Arial"/>
                <w:color w:val="000000"/>
                <w:sz w:val="18"/>
                <w:szCs w:val="18"/>
                <w:lang w:eastAsia="es-CO"/>
              </w:rPr>
            </w:pPr>
            <w:r w:rsidRPr="00D935B9">
              <w:rPr>
                <w:rFonts w:eastAsia="Times New Roman" w:cs="Arial"/>
                <w:color w:val="000000"/>
                <w:sz w:val="18"/>
                <w:szCs w:val="18"/>
                <w:lang w:eastAsia="es-CO"/>
              </w:rPr>
              <w:t xml:space="preserve">La gestión del cambio es un aspecto presente en el manejo de los estériles como se evidencio en el proceso productivo desarrollado por la compañía Brisas de Colombia S.A.S. en donde a partir del impedimento legal para la explotación del asbesto </w:t>
            </w:r>
            <w:proofErr w:type="spellStart"/>
            <w:r w:rsidRPr="00D935B9">
              <w:rPr>
                <w:rFonts w:eastAsia="Times New Roman" w:cs="Arial"/>
                <w:color w:val="000000"/>
                <w:sz w:val="18"/>
                <w:szCs w:val="18"/>
                <w:lang w:eastAsia="es-CO"/>
              </w:rPr>
              <w:t>crisotilo</w:t>
            </w:r>
            <w:proofErr w:type="spellEnd"/>
            <w:r w:rsidRPr="00D935B9">
              <w:rPr>
                <w:rFonts w:eastAsia="Times New Roman" w:cs="Arial"/>
                <w:color w:val="000000"/>
                <w:sz w:val="18"/>
                <w:szCs w:val="18"/>
                <w:lang w:eastAsia="es-CO"/>
              </w:rPr>
              <w:t xml:space="preserve">, se formuló una oportunidad de recuperación de los minerales presentes en el material estéril depositado en sus escombreras. El aprovechamiento del estéril minero no solo se puede realizar al momento de la generación </w:t>
            </w:r>
            <w:r w:rsidRPr="00D935B9">
              <w:rPr>
                <w:rFonts w:eastAsia="Times New Roman" w:cs="Arial"/>
                <w:color w:val="000000"/>
                <w:sz w:val="18"/>
                <w:szCs w:val="18"/>
                <w:lang w:eastAsia="es-CO"/>
              </w:rPr>
              <w:t>de este</w:t>
            </w:r>
            <w:r w:rsidRPr="00D935B9">
              <w:rPr>
                <w:rFonts w:eastAsia="Times New Roman" w:cs="Arial"/>
                <w:color w:val="000000"/>
                <w:sz w:val="18"/>
                <w:szCs w:val="18"/>
                <w:lang w:eastAsia="es-CO"/>
              </w:rPr>
              <w:t>, si no que a través de procesos de investigación y caracterización detallada se pueden generar alternativas de uso eficiente del material dispuesto en las escombreras.</w:t>
            </w:r>
          </w:p>
        </w:tc>
        <w:tc>
          <w:tcPr>
            <w:tcW w:w="5103" w:type="dxa"/>
            <w:tcBorders>
              <w:top w:val="nil"/>
              <w:left w:val="nil"/>
              <w:bottom w:val="single" w:sz="4" w:space="0" w:color="auto"/>
              <w:right w:val="single" w:sz="4" w:space="0" w:color="auto"/>
            </w:tcBorders>
            <w:shd w:val="clear" w:color="auto" w:fill="auto"/>
            <w:vAlign w:val="center"/>
            <w:hideMark/>
          </w:tcPr>
          <w:p w14:paraId="41DE9DE9" w14:textId="057074D8" w:rsidR="005A583B" w:rsidRPr="00AB1C80" w:rsidRDefault="005A583B" w:rsidP="00AB1C80">
            <w:pPr>
              <w:spacing w:line="276" w:lineRule="auto"/>
              <w:rPr>
                <w:rFonts w:eastAsia="Times New Roman" w:cs="Arial"/>
                <w:color w:val="000000"/>
                <w:szCs w:val="18"/>
                <w:lang w:eastAsia="es-CO"/>
              </w:rPr>
            </w:pPr>
            <w:r w:rsidRPr="00AB1C80">
              <w:rPr>
                <w:rFonts w:eastAsia="Times New Roman" w:cs="Arial"/>
                <w:color w:val="000000"/>
                <w:sz w:val="18"/>
                <w:szCs w:val="18"/>
                <w:lang w:eastAsia="es-CO"/>
              </w:rPr>
              <w:t xml:space="preserve">La compañía realizó el cambio de mineral de asbesto </w:t>
            </w:r>
            <w:proofErr w:type="spellStart"/>
            <w:r w:rsidRPr="00AB1C80">
              <w:rPr>
                <w:rFonts w:eastAsia="Times New Roman" w:cs="Arial"/>
                <w:color w:val="000000"/>
                <w:sz w:val="18"/>
                <w:szCs w:val="18"/>
                <w:lang w:eastAsia="es-CO"/>
              </w:rPr>
              <w:t>crisotilo</w:t>
            </w:r>
            <w:proofErr w:type="spellEnd"/>
            <w:r w:rsidRPr="00AB1C80">
              <w:rPr>
                <w:rFonts w:eastAsia="Times New Roman" w:cs="Arial"/>
                <w:color w:val="000000"/>
                <w:sz w:val="18"/>
                <w:szCs w:val="18"/>
                <w:lang w:eastAsia="es-CO"/>
              </w:rPr>
              <w:t xml:space="preserve"> al silicato de magnesio, ya que el asbesto era un residuo minero peligroso. El silicato de magnesio se empezó a usar como materia prima como una gran oportunidad de negocio, renovando tanto el título minero como el PMA basado en los nuevos minerales a explotar. Dentro de los procesos productivos del mineral de silicato de magnesio se definen 3 modelos de negocio: el primero corresponde al uso como fertilizante en un 60% para exportación y un 40% en el mercado nacional. Como segundo modelo de negocio se utilizan como filtros catalizadores para el mejoramiento de aguas residuales de la producción de petróleo y por último como producción de moldes cerámicos que se fabrican para la empresa Oíl and Gas.</w:t>
            </w:r>
          </w:p>
          <w:p w14:paraId="463F3FE9" w14:textId="77777777" w:rsidR="005A583B" w:rsidRPr="00AB1C80" w:rsidRDefault="005A583B" w:rsidP="00AB1C80">
            <w:pPr>
              <w:spacing w:line="276" w:lineRule="auto"/>
              <w:rPr>
                <w:rFonts w:cs="Arial"/>
              </w:rPr>
            </w:pPr>
          </w:p>
          <w:p w14:paraId="145CD4FB"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lastRenderedPageBreak/>
              <w:t>La empresa establece como punto crítico para el financiamiento de proyectos de economía circular, el impulso de la banca nacional hacia estos proyectos, el desinterés de la banca hacia estos proyectos de sostenibilidad, estigmatizando la minería, mientras que el proyecto ha tenido el apoyo y acompañamiento financiero de la banca internacional lo cual están más enfocados no solo en el tema de economía circular, si no en el tema social, adquiriendo una simbiosis muy importante con la comunidad.</w:t>
            </w:r>
          </w:p>
          <w:p w14:paraId="486352C9" w14:textId="57473E4D"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Por otro lado, afirman que se debe definir un validador que certifique el proyecto minero como un proyecto sostenible en economía circular, el proyecto ha trabajado de la mano con </w:t>
            </w:r>
            <w:r w:rsidRPr="00AB1C80">
              <w:rPr>
                <w:rFonts w:eastAsia="Times New Roman" w:cs="Arial"/>
                <w:i/>
                <w:iCs/>
                <w:color w:val="000000"/>
                <w:sz w:val="18"/>
                <w:szCs w:val="18"/>
                <w:lang w:eastAsia="es-CO"/>
              </w:rPr>
              <w:t xml:space="preserve">Deloitte </w:t>
            </w:r>
            <w:proofErr w:type="spellStart"/>
            <w:r w:rsidRPr="00AB1C80">
              <w:rPr>
                <w:rFonts w:eastAsia="Times New Roman" w:cs="Arial"/>
                <w:i/>
                <w:iCs/>
                <w:color w:val="000000"/>
                <w:sz w:val="18"/>
                <w:szCs w:val="18"/>
                <w:lang w:eastAsia="es-CO"/>
              </w:rPr>
              <w:t>Dostenibilidad</w:t>
            </w:r>
            <w:proofErr w:type="spellEnd"/>
            <w:r w:rsidRPr="00AB1C80">
              <w:rPr>
                <w:rFonts w:eastAsia="Times New Roman" w:cs="Arial"/>
                <w:color w:val="000000"/>
                <w:sz w:val="18"/>
                <w:szCs w:val="18"/>
                <w:lang w:eastAsia="es-CO"/>
              </w:rPr>
              <w:t>, sin embargo, la validación es muy costosa y se generan muchos requerimientos para acceder a la certificación de Sostenibilidad. La empresa ha trabajado de la mano con Corantioquia, en el tema para definir el aprovechamiento de los relaves que se generan dentro del proyecto.</w:t>
            </w:r>
          </w:p>
        </w:tc>
      </w:tr>
      <w:tr w:rsidR="005A583B" w:rsidRPr="00AB1C80" w14:paraId="48A029C3"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389734D"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Fundación San Antonio</w:t>
            </w:r>
          </w:p>
        </w:tc>
        <w:tc>
          <w:tcPr>
            <w:tcW w:w="1701" w:type="dxa"/>
            <w:tcBorders>
              <w:top w:val="nil"/>
              <w:left w:val="nil"/>
              <w:bottom w:val="single" w:sz="4" w:space="0" w:color="auto"/>
              <w:right w:val="single" w:sz="4" w:space="0" w:color="auto"/>
            </w:tcBorders>
            <w:shd w:val="clear" w:color="auto" w:fill="auto"/>
            <w:vAlign w:val="center"/>
            <w:hideMark/>
          </w:tcPr>
          <w:p w14:paraId="3B1915D5"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viernes, 15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4C676372"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El manejo del estéril durante la etapa de cierre del proyecto minero implica el conocimiento claro de las características de este material, en la reunión desarrollada con la Fundación San Antonio se evidencia que la disposición permanente del material implica un conocimiento detallado de sus propiedades físicas y el desarrollo de estudios y evaluación geotécnica en harás de proporcionar la mayor estabilidad física del área, por ejemplo en este caso se ha evidenciado la necesidad de realizar mezclas con escombros provenientes de Bogotá para mejorar estas condiciones de estabilidad. Muchos proyectos mineros han establecido el manejo de su material estéril como resultado de procesos de adaptación a las disposiciones normativas que van resultado con el tiempo y las condiciones resultantes del desarrollo minero. No todas las alternativas de uso del material estéril presentan viabilidad, en muchos casos por las características del material, limitaciones en el </w:t>
            </w:r>
            <w:r w:rsidRPr="00AB1C80">
              <w:rPr>
                <w:rFonts w:eastAsia="Times New Roman" w:cs="Arial"/>
                <w:color w:val="000000"/>
                <w:sz w:val="18"/>
                <w:szCs w:val="18"/>
                <w:lang w:eastAsia="es-CO"/>
              </w:rPr>
              <w:lastRenderedPageBreak/>
              <w:t>ordenamiento territorial de las áreas o por impedimentos al momento de realizar algún tipo de modificación en el instrumento ambiental que permita dar un manejo diferente al inicialmente establecido.</w:t>
            </w:r>
          </w:p>
        </w:tc>
        <w:tc>
          <w:tcPr>
            <w:tcW w:w="5103" w:type="dxa"/>
            <w:tcBorders>
              <w:top w:val="nil"/>
              <w:left w:val="nil"/>
              <w:bottom w:val="single" w:sz="4" w:space="0" w:color="auto"/>
              <w:right w:val="single" w:sz="4" w:space="0" w:color="auto"/>
            </w:tcBorders>
            <w:shd w:val="clear" w:color="auto" w:fill="auto"/>
            <w:vAlign w:val="center"/>
            <w:hideMark/>
          </w:tcPr>
          <w:p w14:paraId="355EE8CD"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lastRenderedPageBreak/>
              <w:t>Dentro del proyecto minero no se lograron realizar procesos circulares, aunque se realizaron unas pruebas piloto en el relleno sanitario doña Juana, usando el material estéril para mezclas en la disposición final de residuos ordinarios, se realizó la consulta por parte de la fundación a la ANLA para el aprovechamiento de este material como proceso de economía circular, aunque la respuesta por parte de ellos fue negada ya que en el PMA se establecía que el material se iba a utilizar para reconformación morfológica.</w:t>
            </w:r>
          </w:p>
          <w:p w14:paraId="1515D8E4" w14:textId="77777777" w:rsidR="005A583B" w:rsidRPr="00AB1C80" w:rsidRDefault="005A583B" w:rsidP="00AB1C80">
            <w:pPr>
              <w:spacing w:line="276" w:lineRule="auto"/>
              <w:rPr>
                <w:rFonts w:eastAsia="Times New Roman" w:cs="Arial"/>
                <w:color w:val="000000"/>
                <w:sz w:val="18"/>
                <w:szCs w:val="18"/>
                <w:lang w:eastAsia="es-CO"/>
              </w:rPr>
            </w:pPr>
          </w:p>
          <w:p w14:paraId="022E6332"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Se menciona por parte del proyecto el bajo nivel de acompañamiento por parte de la Agencia Nacional de Minería ANM, al encontrase en etapa de cierre minero, las visitas se limitan a diligenciar listas de chequeo con observaciones en muchos casos de información que ya no aplica. </w:t>
            </w:r>
          </w:p>
        </w:tc>
      </w:tr>
      <w:tr w:rsidR="005A583B" w:rsidRPr="00AB1C80" w14:paraId="23BE1F83"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36F0B50"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Gran Colombia Gold Segovia S.A.</w:t>
            </w:r>
          </w:p>
        </w:tc>
        <w:tc>
          <w:tcPr>
            <w:tcW w:w="1701" w:type="dxa"/>
            <w:tcBorders>
              <w:top w:val="nil"/>
              <w:left w:val="nil"/>
              <w:bottom w:val="single" w:sz="4" w:space="0" w:color="auto"/>
              <w:right w:val="single" w:sz="4" w:space="0" w:color="auto"/>
            </w:tcBorders>
            <w:shd w:val="clear" w:color="auto" w:fill="auto"/>
            <w:vAlign w:val="center"/>
            <w:hideMark/>
          </w:tcPr>
          <w:p w14:paraId="1611D501"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martes, 19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45255224"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En el caso de los proyectos mineros de gran envergadura que generan volúmenes significativos de material estéril las alternativas de aprovechamiento pueden verse limitadas por este factor, ya que solo una fracción del material podrá ser utilizado, como lo indica Gran Colombia Gold Segovia S.A. Aunque se emplee para actividades internas del proyecto minero como retrollenado, adecuación de vías y obras o actividades externas como la construcción de la vía 4G Remedios- Segovia, solo un porcentaje podrá ser aprovechado ya que el proyecto siempre generara en su fase de explotación grandes y constantes volúmenes de material estéril que requerirá de su disposición en una escombrera diseñada bajo parámetros geotécnicos rigurosa que incorporen una caracterización física, química y geomecánica detallada del yacimiento y material estéril.</w:t>
            </w:r>
          </w:p>
        </w:tc>
        <w:tc>
          <w:tcPr>
            <w:tcW w:w="5103" w:type="dxa"/>
            <w:tcBorders>
              <w:top w:val="nil"/>
              <w:left w:val="nil"/>
              <w:bottom w:val="single" w:sz="4" w:space="0" w:color="auto"/>
              <w:right w:val="single" w:sz="4" w:space="0" w:color="auto"/>
            </w:tcBorders>
            <w:shd w:val="clear" w:color="auto" w:fill="auto"/>
            <w:vAlign w:val="center"/>
            <w:hideMark/>
          </w:tcPr>
          <w:p w14:paraId="43CD138F"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En el marco de la implementación de economía circular como oportunidad de negocio, el proyecto minero a cielo abierto le suministra los estériles generados en la mina al constructor de una vía nacional que comunica el Rio Magdalena con el Rio Cauca, más exactamente en Antioquia. Mientras que en la mina subterránea se aprovecha el material estéril en el relleno dentro de la mina para ganar en términos de sostenimiento garantizando la estabilidad del macizo rocoso, entre otros. Este proceso se evidencia en muchas empresas, pero que no está contemplado como tal como un proceso de economía circular internamente.</w:t>
            </w:r>
          </w:p>
          <w:p w14:paraId="2D741EAE"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Referente al modelo de economía circular, el proyecto plantea diferentes alternativas de uso que se han venido desarrollando a lo largo del proyecto, pero que hay ciertas barreras, impedimentos y restricciones para el desarrollo de estas: </w:t>
            </w:r>
          </w:p>
          <w:p w14:paraId="5AC9C8DC" w14:textId="77777777" w:rsidR="005A583B" w:rsidRPr="00AB1C80" w:rsidRDefault="005A583B" w:rsidP="00AB1C80">
            <w:pPr>
              <w:pStyle w:val="Prrafodelista"/>
              <w:numPr>
                <w:ilvl w:val="0"/>
                <w:numId w:val="18"/>
              </w:num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En la minería de residuos, se retira el plomo y zinc para comercializar, aunque la talanquera jurídica en el tema de regalías es difícil, ya que no hay una normatividad al respecto.</w:t>
            </w:r>
          </w:p>
          <w:p w14:paraId="0A2B7CFD" w14:textId="77777777" w:rsidR="005A583B" w:rsidRPr="00AB1C80" w:rsidRDefault="005A583B" w:rsidP="00AB1C80">
            <w:pPr>
              <w:pStyle w:val="Prrafodelista"/>
              <w:numPr>
                <w:ilvl w:val="0"/>
                <w:numId w:val="18"/>
              </w:num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Los conminan a reusar el agua, pero no les otorgan la concesión porque tienen otra en uso, hay bastantes barreras para el desarrollo de la economía circular en este aspecto.</w:t>
            </w:r>
          </w:p>
          <w:p w14:paraId="416699F3" w14:textId="77777777" w:rsidR="005A583B" w:rsidRPr="00AB1C80" w:rsidRDefault="005A583B" w:rsidP="00AB1C80">
            <w:pPr>
              <w:pStyle w:val="Prrafodelista"/>
              <w:numPr>
                <w:ilvl w:val="0"/>
                <w:numId w:val="18"/>
              </w:num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Con los relaves, han pensado en reutilizarlo en carreteras, en fabricación de ladrillos, entre otros, pero con base en el volumen de relaves que se van a generar, se va a saturar rápidamente en el mercado.</w:t>
            </w:r>
          </w:p>
          <w:p w14:paraId="182CE748" w14:textId="3AF352AE" w:rsidR="005A583B" w:rsidRPr="00AB1C80" w:rsidRDefault="005A583B" w:rsidP="00AB1C80">
            <w:pPr>
              <w:pStyle w:val="Prrafodelista"/>
              <w:numPr>
                <w:ilvl w:val="0"/>
                <w:numId w:val="18"/>
              </w:num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Para los Relaves lixiviados que tienen características de peligrosidad por el plomo, se montó una planta </w:t>
            </w:r>
            <w:r w:rsidRPr="00AB1C80">
              <w:rPr>
                <w:rFonts w:eastAsia="Times New Roman" w:cs="Arial"/>
                <w:color w:val="000000"/>
                <w:sz w:val="18"/>
                <w:szCs w:val="18"/>
                <w:lang w:eastAsia="es-CO"/>
              </w:rPr>
              <w:lastRenderedPageBreak/>
              <w:t>para flotar ese plomo y al retirarlo se le quita la peligrosidad de ese material y se acumulan con los otros relaves, sin embargo, con el proyecto debido al tema de regalías del mineral a explotar, hay mucha talanquera alrededor de un material que es muy provechoso y beneficioso.</w:t>
            </w:r>
          </w:p>
          <w:p w14:paraId="0DB16D22" w14:textId="77777777" w:rsidR="005A583B" w:rsidRPr="00AB1C80" w:rsidRDefault="005A583B" w:rsidP="00AB1C80">
            <w:pPr>
              <w:pStyle w:val="Prrafodelista"/>
              <w:numPr>
                <w:ilvl w:val="0"/>
                <w:numId w:val="18"/>
              </w:num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El tema de las llantas con la </w:t>
            </w:r>
            <w:proofErr w:type="spellStart"/>
            <w:r w:rsidRPr="00AB1C80">
              <w:rPr>
                <w:rFonts w:eastAsia="Times New Roman" w:cs="Arial"/>
                <w:color w:val="000000"/>
                <w:sz w:val="18"/>
                <w:szCs w:val="18"/>
                <w:lang w:eastAsia="es-CO"/>
              </w:rPr>
              <w:t>cauchotecnia</w:t>
            </w:r>
            <w:proofErr w:type="spellEnd"/>
            <w:r w:rsidRPr="00AB1C80">
              <w:rPr>
                <w:rFonts w:eastAsia="Times New Roman" w:cs="Arial"/>
                <w:color w:val="000000"/>
                <w:sz w:val="18"/>
                <w:szCs w:val="18"/>
                <w:lang w:eastAsia="es-CO"/>
              </w:rPr>
              <w:t>, pero también aparecen talanqueras porque el material que contiene las llantas contamina el suelo, entre otros.</w:t>
            </w:r>
          </w:p>
          <w:p w14:paraId="6AB458C3" w14:textId="77777777" w:rsidR="005A583B" w:rsidRPr="00AB1C80" w:rsidRDefault="005A583B" w:rsidP="00AB1C80">
            <w:pPr>
              <w:spacing w:line="276" w:lineRule="auto"/>
              <w:rPr>
                <w:rFonts w:eastAsia="Times New Roman" w:cs="Arial"/>
                <w:color w:val="000000"/>
                <w:sz w:val="18"/>
                <w:szCs w:val="18"/>
                <w:lang w:eastAsia="es-CO"/>
              </w:rPr>
            </w:pPr>
          </w:p>
        </w:tc>
      </w:tr>
      <w:tr w:rsidR="005A583B" w:rsidRPr="00AB1C80" w14:paraId="25D8884E" w14:textId="77777777" w:rsidTr="008575F9">
        <w:trPr>
          <w:trHeight w:val="28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FCBA2EE"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Cemex Colombia S.A.</w:t>
            </w:r>
          </w:p>
        </w:tc>
        <w:tc>
          <w:tcPr>
            <w:tcW w:w="1701" w:type="dxa"/>
            <w:tcBorders>
              <w:top w:val="nil"/>
              <w:left w:val="nil"/>
              <w:bottom w:val="single" w:sz="4" w:space="0" w:color="auto"/>
              <w:right w:val="single" w:sz="4" w:space="0" w:color="auto"/>
            </w:tcBorders>
            <w:shd w:val="clear" w:color="auto" w:fill="auto"/>
            <w:vAlign w:val="center"/>
            <w:hideMark/>
          </w:tcPr>
          <w:p w14:paraId="52366318"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miércoles, 20 de octubre de 2021</w:t>
            </w:r>
          </w:p>
        </w:tc>
        <w:tc>
          <w:tcPr>
            <w:tcW w:w="5528" w:type="dxa"/>
            <w:tcBorders>
              <w:top w:val="nil"/>
              <w:left w:val="nil"/>
              <w:bottom w:val="single" w:sz="4" w:space="0" w:color="auto"/>
              <w:right w:val="single" w:sz="4" w:space="0" w:color="auto"/>
            </w:tcBorders>
            <w:shd w:val="clear" w:color="auto" w:fill="auto"/>
            <w:vAlign w:val="center"/>
            <w:hideMark/>
          </w:tcPr>
          <w:p w14:paraId="0B84795F"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En aprovechamiento del material estéril implica la modificación de los instrumentos ambientales y mineros. Cemex Colombia S.A. ha desarrollado proyectos de investigación en harás de optimizar sus recursos mediante el aprovechamiento del material estéril como materia para la elaboración de sus productos lo que ha significado que tengas que modificar dichos instrumentos, siendo muchas veces un limitante para realizar el aprovechamiento del material. Es claro que el material estéril que se vuelva aprovechable deja de considerarse como estéril por lo que se vuelve fundamental aclarar vacíos legales vigentes y facilitar el trámite de estos procesos de modificación.</w:t>
            </w:r>
          </w:p>
        </w:tc>
        <w:tc>
          <w:tcPr>
            <w:tcW w:w="5103" w:type="dxa"/>
            <w:tcBorders>
              <w:top w:val="nil"/>
              <w:left w:val="nil"/>
              <w:bottom w:val="single" w:sz="4" w:space="0" w:color="auto"/>
              <w:right w:val="single" w:sz="4" w:space="0" w:color="auto"/>
            </w:tcBorders>
            <w:shd w:val="clear" w:color="auto" w:fill="auto"/>
            <w:vAlign w:val="center"/>
            <w:hideMark/>
          </w:tcPr>
          <w:p w14:paraId="7430E955" w14:textId="577C554A"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empresa dentro de la implementación de economía circular en sus operaciones cuenta con un modelo de sostenibilidad, en el cual se incorpora buenas prácticas sostenibles en cada una de las operaciones diarias y en procesos de toma de decisiones.</w:t>
            </w:r>
          </w:p>
          <w:p w14:paraId="13744816" w14:textId="77777777" w:rsidR="005A583B" w:rsidRPr="00AB1C80" w:rsidRDefault="005A583B" w:rsidP="00AB1C80">
            <w:pPr>
              <w:spacing w:line="276" w:lineRule="auto"/>
              <w:rPr>
                <w:rFonts w:eastAsia="Times New Roman" w:cs="Arial"/>
                <w:color w:val="000000"/>
                <w:sz w:val="18"/>
                <w:szCs w:val="18"/>
                <w:lang w:eastAsia="es-CO"/>
              </w:rPr>
            </w:pPr>
          </w:p>
          <w:p w14:paraId="6EFE1E2D" w14:textId="0C87D47C"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Además, la empresa dentro de la economía circular plantea que todas las operaciones cuenten con directrices y/o lineamientos que definen la política del modelo basura cero del país, incluido la generación de estériles dándole un uso circular a los flujos de materiales en sus procesos productivos.</w:t>
            </w:r>
          </w:p>
        </w:tc>
      </w:tr>
    </w:tbl>
    <w:p w14:paraId="58429DD9" w14:textId="0F63E3CD" w:rsidR="00A8745B" w:rsidRPr="00AB1C80" w:rsidRDefault="00A93FCE" w:rsidP="00AB1C80">
      <w:pPr>
        <w:spacing w:line="276" w:lineRule="auto"/>
        <w:jc w:val="center"/>
        <w:rPr>
          <w:rFonts w:cs="Arial"/>
          <w:color w:val="000000" w:themeColor="text1"/>
          <w:szCs w:val="24"/>
        </w:rPr>
      </w:pPr>
      <w:r w:rsidRPr="00AB1C80">
        <w:rPr>
          <w:rFonts w:cs="Arial"/>
          <w:b/>
          <w:i/>
          <w:sz w:val="18"/>
          <w:szCs w:val="18"/>
        </w:rPr>
        <w:t>Fuente: ATG Ltda., 2021.</w:t>
      </w:r>
    </w:p>
    <w:p w14:paraId="075E329D" w14:textId="77777777" w:rsidR="00A93FCE" w:rsidRPr="00AB1C80" w:rsidRDefault="00A93FCE" w:rsidP="00AB1C80">
      <w:pPr>
        <w:spacing w:line="276" w:lineRule="auto"/>
        <w:rPr>
          <w:rFonts w:cs="Arial"/>
          <w:color w:val="000000" w:themeColor="text1"/>
          <w:szCs w:val="24"/>
        </w:rPr>
      </w:pPr>
    </w:p>
    <w:p w14:paraId="3E20B709" w14:textId="77777777" w:rsidR="00C050E9" w:rsidRPr="00AB1C80" w:rsidRDefault="00C050E9" w:rsidP="00AB1C80">
      <w:pPr>
        <w:spacing w:line="276" w:lineRule="auto"/>
        <w:rPr>
          <w:rFonts w:cs="Arial"/>
          <w:color w:val="000000" w:themeColor="text1"/>
        </w:rPr>
        <w:sectPr w:rsidR="00C050E9" w:rsidRPr="00AB1C80" w:rsidSect="00A93FCE">
          <w:pgSz w:w="15840" w:h="12240" w:orient="landscape"/>
          <w:pgMar w:top="1701" w:right="1418" w:bottom="1701" w:left="1418" w:header="709" w:footer="709" w:gutter="0"/>
          <w:cols w:space="708"/>
          <w:docGrid w:linePitch="360"/>
        </w:sectPr>
      </w:pPr>
    </w:p>
    <w:p w14:paraId="081AA605" w14:textId="07026752" w:rsidR="00C050E9" w:rsidRPr="00AB1C80" w:rsidRDefault="00C050E9" w:rsidP="00AB1C80">
      <w:pPr>
        <w:pStyle w:val="Ttulo2"/>
        <w:spacing w:line="276" w:lineRule="auto"/>
        <w:rPr>
          <w:rFonts w:cs="Arial"/>
        </w:rPr>
      </w:pPr>
      <w:bookmarkStart w:id="144" w:name="_Toc57315074"/>
      <w:bookmarkStart w:id="145" w:name="_Toc86332945"/>
      <w:r w:rsidRPr="00AB1C80">
        <w:rPr>
          <w:rFonts w:cs="Arial"/>
        </w:rPr>
        <w:lastRenderedPageBreak/>
        <w:t>Mesas de trabajo con actores mineros</w:t>
      </w:r>
      <w:bookmarkEnd w:id="144"/>
      <w:bookmarkEnd w:id="145"/>
      <w:r w:rsidRPr="00AB1C80">
        <w:rPr>
          <w:rFonts w:cs="Arial"/>
        </w:rPr>
        <w:t xml:space="preserve"> </w:t>
      </w:r>
    </w:p>
    <w:p w14:paraId="015FC7D1" w14:textId="32CE8B05" w:rsidR="00A03105" w:rsidRPr="00AB1C80" w:rsidRDefault="00A03105" w:rsidP="00AB1C80">
      <w:pPr>
        <w:spacing w:line="276" w:lineRule="auto"/>
        <w:rPr>
          <w:rFonts w:cs="Arial"/>
          <w:color w:val="000000" w:themeColor="text1"/>
          <w:szCs w:val="24"/>
        </w:rPr>
      </w:pPr>
    </w:p>
    <w:p w14:paraId="38B81EA7" w14:textId="5D28202C" w:rsidR="000C5A83" w:rsidRPr="00AB1C80" w:rsidRDefault="000C5A83" w:rsidP="00AB1C80">
      <w:pPr>
        <w:spacing w:line="276" w:lineRule="auto"/>
        <w:rPr>
          <w:rFonts w:cs="Arial"/>
          <w:color w:val="000000" w:themeColor="text1"/>
          <w:szCs w:val="24"/>
        </w:rPr>
      </w:pPr>
      <w:r w:rsidRPr="00AB1C80">
        <w:rPr>
          <w:rFonts w:cs="Arial"/>
          <w:color w:val="000000" w:themeColor="text1"/>
          <w:szCs w:val="24"/>
        </w:rPr>
        <w:t xml:space="preserve">Con los actores mineros se ha logrado tener seis </w:t>
      </w:r>
      <w:r w:rsidRPr="00AB1C80">
        <w:rPr>
          <w:rFonts w:cs="Arial"/>
          <w:b/>
          <w:bCs/>
          <w:color w:val="000000" w:themeColor="text1"/>
          <w:szCs w:val="24"/>
        </w:rPr>
        <w:t>(6)</w:t>
      </w:r>
      <w:r w:rsidRPr="00AB1C80">
        <w:rPr>
          <w:rFonts w:cs="Arial"/>
          <w:color w:val="000000" w:themeColor="text1"/>
          <w:szCs w:val="24"/>
        </w:rPr>
        <w:t xml:space="preserve"> reuniones, las cuales han sido muy enriquecedoras y han generado gran aporte a los lineamientos que se están construyendo, los actores que han podido asistir son: </w:t>
      </w:r>
      <w:r w:rsidR="00ED10D6" w:rsidRPr="00AB1C80">
        <w:rPr>
          <w:rFonts w:cs="Arial"/>
          <w:color w:val="000000" w:themeColor="text1"/>
          <w:szCs w:val="24"/>
        </w:rPr>
        <w:t xml:space="preserve">Dirección Nacional de Planeación - Subdirección Minas y Energía, Secretaría de Minas - Gobernación de Antioquia, Servicio Geológico Colombiano, </w:t>
      </w:r>
      <w:r w:rsidR="00ED10D6" w:rsidRPr="00AB1C80">
        <w:rPr>
          <w:rFonts w:cs="Arial"/>
          <w:szCs w:val="24"/>
        </w:rPr>
        <w:t>Corporación Autónoma Regional de las Cuencas de los Ríos Negro y Nare (CORNARE), Corporación Autónoma Regional del Centro de Antioquia (CORANTIOQUIA) y la empresa Waste2Worth quien se encuentra especializada en temas de economía circular.</w:t>
      </w:r>
    </w:p>
    <w:p w14:paraId="3D9EA7F3" w14:textId="77777777" w:rsidR="00ED10D6" w:rsidRPr="00AB1C80" w:rsidRDefault="00ED10D6" w:rsidP="00AB1C80">
      <w:pPr>
        <w:spacing w:line="276" w:lineRule="auto"/>
        <w:rPr>
          <w:rFonts w:cs="Arial"/>
          <w:color w:val="000000" w:themeColor="text1"/>
          <w:szCs w:val="24"/>
        </w:rPr>
        <w:sectPr w:rsidR="00ED10D6" w:rsidRPr="00AB1C80" w:rsidSect="00A93FCE">
          <w:headerReference w:type="default" r:id="rId17"/>
          <w:pgSz w:w="12240" w:h="15840"/>
          <w:pgMar w:top="1417" w:right="1701" w:bottom="1417" w:left="1701" w:header="708" w:footer="708" w:gutter="0"/>
          <w:cols w:space="708"/>
          <w:docGrid w:linePitch="360"/>
        </w:sectPr>
      </w:pPr>
    </w:p>
    <w:p w14:paraId="0158DFC3" w14:textId="2ECA0365" w:rsidR="00401DA1" w:rsidRPr="00AB1C80" w:rsidRDefault="00ED10D6" w:rsidP="00AB1C80">
      <w:pPr>
        <w:pStyle w:val="FigurayTabla"/>
        <w:spacing w:line="276" w:lineRule="auto"/>
        <w:rPr>
          <w:rFonts w:cs="Arial"/>
          <w:szCs w:val="24"/>
          <w:lang w:val="es-CO"/>
        </w:rPr>
      </w:pPr>
      <w:bookmarkStart w:id="146" w:name="_Ref55304971"/>
      <w:bookmarkStart w:id="147" w:name="_Toc55305941"/>
      <w:bookmarkStart w:id="148" w:name="_Toc57315120"/>
      <w:bookmarkStart w:id="149" w:name="_Toc57372251"/>
      <w:bookmarkStart w:id="150" w:name="_Toc86333039"/>
      <w:r w:rsidRPr="00AB1C80">
        <w:rPr>
          <w:rFonts w:cs="Arial"/>
          <w:lang w:val="es-CO"/>
        </w:rPr>
        <w:lastRenderedPageBreak/>
        <w:t xml:space="preserve">Tabla </w:t>
      </w:r>
      <w:r w:rsidRPr="00AB1C80">
        <w:rPr>
          <w:rFonts w:cs="Arial"/>
          <w:lang w:val="es-CO"/>
        </w:rPr>
        <w:fldChar w:fldCharType="begin"/>
      </w:r>
      <w:r w:rsidRPr="00AB1C80">
        <w:rPr>
          <w:rFonts w:cs="Arial"/>
          <w:lang w:val="es-CO"/>
        </w:rPr>
        <w:instrText xml:space="preserve"> SEQ Tabla \* ARABIC </w:instrText>
      </w:r>
      <w:r w:rsidRPr="00AB1C80">
        <w:rPr>
          <w:rFonts w:cs="Arial"/>
          <w:lang w:val="es-CO"/>
        </w:rPr>
        <w:fldChar w:fldCharType="separate"/>
      </w:r>
      <w:r w:rsidR="00AB1C80">
        <w:rPr>
          <w:rFonts w:cs="Arial"/>
          <w:noProof/>
          <w:lang w:val="es-CO"/>
        </w:rPr>
        <w:t>34</w:t>
      </w:r>
      <w:r w:rsidRPr="00AB1C80">
        <w:rPr>
          <w:rFonts w:cs="Arial"/>
          <w:lang w:val="es-CO"/>
        </w:rPr>
        <w:fldChar w:fldCharType="end"/>
      </w:r>
      <w:bookmarkEnd w:id="146"/>
      <w:r w:rsidRPr="00AB1C80">
        <w:rPr>
          <w:rFonts w:cs="Arial"/>
          <w:lang w:val="es-CO"/>
        </w:rPr>
        <w:t>. Aspectos importantes de las mesas de trabajo con Actores Mineros.</w:t>
      </w:r>
      <w:bookmarkEnd w:id="147"/>
      <w:bookmarkEnd w:id="148"/>
      <w:bookmarkEnd w:id="149"/>
      <w:bookmarkEnd w:id="150"/>
    </w:p>
    <w:tbl>
      <w:tblPr>
        <w:tblW w:w="13320" w:type="dxa"/>
        <w:jc w:val="center"/>
        <w:tblCellMar>
          <w:left w:w="70" w:type="dxa"/>
          <w:right w:w="70" w:type="dxa"/>
        </w:tblCellMar>
        <w:tblLook w:val="04A0" w:firstRow="1" w:lastRow="0" w:firstColumn="1" w:lastColumn="0" w:noHBand="0" w:noVBand="1"/>
      </w:tblPr>
      <w:tblGrid>
        <w:gridCol w:w="1843"/>
        <w:gridCol w:w="1701"/>
        <w:gridCol w:w="4673"/>
        <w:gridCol w:w="5103"/>
      </w:tblGrid>
      <w:tr w:rsidR="005A583B" w:rsidRPr="00AB1C80" w14:paraId="225F9098" w14:textId="77777777" w:rsidTr="005A583B">
        <w:trPr>
          <w:trHeight w:val="340"/>
          <w:tblHeader/>
          <w:jc w:val="center"/>
        </w:trPr>
        <w:tc>
          <w:tcPr>
            <w:tcW w:w="13320" w:type="dxa"/>
            <w:gridSpan w:val="4"/>
            <w:tcBorders>
              <w:top w:val="single" w:sz="4" w:space="0" w:color="auto"/>
              <w:left w:val="single" w:sz="4" w:space="0" w:color="auto"/>
              <w:bottom w:val="single" w:sz="4" w:space="0" w:color="auto"/>
              <w:right w:val="single" w:sz="4" w:space="0" w:color="auto"/>
            </w:tcBorders>
            <w:shd w:val="clear" w:color="000000" w:fill="1E345C"/>
            <w:vAlign w:val="center"/>
            <w:hideMark/>
          </w:tcPr>
          <w:p w14:paraId="7113DF04"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ACTORES MINEROS</w:t>
            </w:r>
          </w:p>
        </w:tc>
      </w:tr>
      <w:tr w:rsidR="005A583B" w:rsidRPr="00AB1C80" w14:paraId="0E0CF757" w14:textId="77777777" w:rsidTr="005A583B">
        <w:trPr>
          <w:trHeight w:val="340"/>
          <w:tblHeader/>
          <w:jc w:val="center"/>
        </w:trPr>
        <w:tc>
          <w:tcPr>
            <w:tcW w:w="1843" w:type="dxa"/>
            <w:tcBorders>
              <w:top w:val="nil"/>
              <w:left w:val="single" w:sz="4" w:space="0" w:color="auto"/>
              <w:bottom w:val="single" w:sz="4" w:space="0" w:color="auto"/>
              <w:right w:val="single" w:sz="4" w:space="0" w:color="auto"/>
            </w:tcBorders>
            <w:shd w:val="clear" w:color="000000" w:fill="1E345C"/>
            <w:vAlign w:val="center"/>
            <w:hideMark/>
          </w:tcPr>
          <w:p w14:paraId="473ADFAD"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Empresa</w:t>
            </w:r>
          </w:p>
        </w:tc>
        <w:tc>
          <w:tcPr>
            <w:tcW w:w="1701" w:type="dxa"/>
            <w:tcBorders>
              <w:top w:val="nil"/>
              <w:left w:val="nil"/>
              <w:bottom w:val="single" w:sz="4" w:space="0" w:color="auto"/>
              <w:right w:val="single" w:sz="4" w:space="0" w:color="auto"/>
            </w:tcBorders>
            <w:shd w:val="clear" w:color="000000" w:fill="1E345C"/>
            <w:vAlign w:val="center"/>
            <w:hideMark/>
          </w:tcPr>
          <w:p w14:paraId="38A3BC20"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Fecha de Reunión</w:t>
            </w:r>
          </w:p>
        </w:tc>
        <w:tc>
          <w:tcPr>
            <w:tcW w:w="4673" w:type="dxa"/>
            <w:tcBorders>
              <w:top w:val="nil"/>
              <w:left w:val="nil"/>
              <w:bottom w:val="single" w:sz="4" w:space="0" w:color="auto"/>
              <w:right w:val="single" w:sz="4" w:space="0" w:color="auto"/>
            </w:tcBorders>
            <w:shd w:val="clear" w:color="000000" w:fill="1E345C"/>
            <w:vAlign w:val="center"/>
            <w:hideMark/>
          </w:tcPr>
          <w:p w14:paraId="7C74EE04"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Aspectos Importantes Gestión y Manejo de Estériles</w:t>
            </w:r>
          </w:p>
        </w:tc>
        <w:tc>
          <w:tcPr>
            <w:tcW w:w="5103" w:type="dxa"/>
            <w:tcBorders>
              <w:top w:val="nil"/>
              <w:left w:val="nil"/>
              <w:bottom w:val="single" w:sz="4" w:space="0" w:color="auto"/>
              <w:right w:val="single" w:sz="4" w:space="0" w:color="auto"/>
            </w:tcBorders>
            <w:shd w:val="clear" w:color="000000" w:fill="1E345C"/>
            <w:vAlign w:val="center"/>
            <w:hideMark/>
          </w:tcPr>
          <w:p w14:paraId="2CDBF9DA" w14:textId="77777777" w:rsidR="005A583B" w:rsidRPr="00AB1C80" w:rsidRDefault="005A583B" w:rsidP="00AB1C80">
            <w:pPr>
              <w:spacing w:line="276" w:lineRule="auto"/>
              <w:jc w:val="center"/>
              <w:rPr>
                <w:rFonts w:eastAsia="Times New Roman" w:cs="Arial"/>
                <w:b/>
                <w:bCs/>
                <w:color w:val="FFFFFF"/>
                <w:sz w:val="18"/>
                <w:szCs w:val="18"/>
                <w:lang w:eastAsia="es-CO"/>
              </w:rPr>
            </w:pPr>
            <w:r w:rsidRPr="00AB1C80">
              <w:rPr>
                <w:rFonts w:eastAsia="Times New Roman" w:cs="Arial"/>
                <w:b/>
                <w:bCs/>
                <w:color w:val="FFFFFF"/>
                <w:sz w:val="18"/>
                <w:szCs w:val="18"/>
                <w:lang w:eastAsia="es-CO"/>
              </w:rPr>
              <w:t>Aspectos Importantes Economía Circular</w:t>
            </w:r>
          </w:p>
        </w:tc>
      </w:tr>
      <w:tr w:rsidR="005A583B" w:rsidRPr="00AB1C80" w14:paraId="12C5086D"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22798199"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DNP - Subdirección Minas y Energía</w:t>
            </w:r>
          </w:p>
        </w:tc>
        <w:tc>
          <w:tcPr>
            <w:tcW w:w="1701" w:type="dxa"/>
            <w:tcBorders>
              <w:top w:val="nil"/>
              <w:left w:val="nil"/>
              <w:bottom w:val="single" w:sz="4" w:space="0" w:color="auto"/>
              <w:right w:val="single" w:sz="4" w:space="0" w:color="auto"/>
            </w:tcBorders>
            <w:shd w:val="clear" w:color="auto" w:fill="auto"/>
            <w:vAlign w:val="center"/>
            <w:hideMark/>
          </w:tcPr>
          <w:p w14:paraId="2A6D9EE1"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lunes, 11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4A74DE7A"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planeación del aprovechamiento del material estéril implica tener pleno conocimiento de sus características y posibilidades de uso, por lo cual es necesario el desarrollo de proyectos de investigación que permitan establecer alternativas de aprovechamiento enfocadas hacia la innovación y crecimiento económico sostenible. A su vez es necesario contar con una mayor articulación entre la autoridad minera y ambiental con el fin de desarrollar estrategias que faciliten el desarrollo de proyectos enfocados al aprovechamiento del material estéril.</w:t>
            </w:r>
          </w:p>
        </w:tc>
        <w:tc>
          <w:tcPr>
            <w:tcW w:w="5103" w:type="dxa"/>
            <w:tcBorders>
              <w:top w:val="nil"/>
              <w:left w:val="nil"/>
              <w:bottom w:val="single" w:sz="4" w:space="0" w:color="auto"/>
              <w:right w:val="single" w:sz="4" w:space="0" w:color="auto"/>
            </w:tcBorders>
            <w:shd w:val="clear" w:color="auto" w:fill="auto"/>
            <w:vAlign w:val="center"/>
            <w:hideMark/>
          </w:tcPr>
          <w:p w14:paraId="0087C5C4"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Con base a lo planteado por el DNP en la temática de economía circular, se está trabajando en el CONPES en transición energética, lo cual hay una línea de acción específica para el componente minero, pero que también está alineada con otros componentes como hidrocarburos, energía, entre otros. Dentro de la línea de acción que está formulada para el componente minero se propone que sea liderada por el Ministerio de Minas y Energía.</w:t>
            </w:r>
          </w:p>
          <w:p w14:paraId="73BAA2B4" w14:textId="77777777" w:rsidR="005A583B" w:rsidRPr="00AB1C80" w:rsidRDefault="005A583B" w:rsidP="00AB1C80">
            <w:pPr>
              <w:spacing w:line="276" w:lineRule="auto"/>
              <w:rPr>
                <w:rFonts w:eastAsia="Times New Roman" w:cs="Arial"/>
                <w:color w:val="000000"/>
                <w:sz w:val="18"/>
                <w:szCs w:val="18"/>
                <w:lang w:eastAsia="es-CO"/>
              </w:rPr>
            </w:pPr>
          </w:p>
          <w:p w14:paraId="5A00BD90"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Por otra parte, se expone que en la subdirección de transporte hacia el año 2017 se desarrolló un estudio del Plan Nacional de Dragados en acompañamiento con el Ministerio de Transporte y Ambiente que pueden servir como información. Así mismo, en la UPTC se están haciendo investigaciones para la caracterización y uso de minerales en el departamento de Boyacá.</w:t>
            </w:r>
          </w:p>
          <w:p w14:paraId="69753186" w14:textId="77777777" w:rsidR="005A583B" w:rsidRPr="00AB1C80" w:rsidRDefault="005A583B" w:rsidP="00AB1C80">
            <w:pPr>
              <w:spacing w:line="276" w:lineRule="auto"/>
              <w:rPr>
                <w:rFonts w:eastAsia="Times New Roman" w:cs="Arial"/>
                <w:color w:val="000000"/>
                <w:sz w:val="18"/>
                <w:szCs w:val="18"/>
                <w:lang w:eastAsia="es-CO"/>
              </w:rPr>
            </w:pPr>
          </w:p>
          <w:p w14:paraId="4FF9D751" w14:textId="6E8ACA81"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Según afirma el equipo de DNP, uno de los mecanismos o fundamentos que se requieren para impulsar la economía circular a mediano y largo plazo en el país a nivel institucional, es el CONPES de crecimiento verde liderado por la dirección de ambiente y desarrollo sostenible, lo cual se presentan falencias dentro del componente minero principalmente. </w:t>
            </w:r>
            <w:r w:rsidR="00A54D0A" w:rsidRPr="00AB1C80">
              <w:rPr>
                <w:rFonts w:eastAsia="Times New Roman" w:cs="Arial"/>
                <w:color w:val="000000"/>
                <w:sz w:val="18"/>
                <w:szCs w:val="18"/>
                <w:lang w:eastAsia="es-CO"/>
              </w:rPr>
              <w:t>Igualmente,</w:t>
            </w:r>
            <w:r w:rsidRPr="00AB1C80">
              <w:rPr>
                <w:rFonts w:eastAsia="Times New Roman" w:cs="Arial"/>
                <w:color w:val="000000"/>
                <w:sz w:val="18"/>
                <w:szCs w:val="18"/>
                <w:lang w:eastAsia="es-CO"/>
              </w:rPr>
              <w:t xml:space="preserve"> el CONPES es la herramienta de política pública que puede priorizar e incentivar la economía circular en proyectos mineros el cual trasciende de periodos gubernamentales y que está orientada y alineada con otras herramientas que se vienen desarrollando dentro del sector, como el Plan Energético Nacional, la estrategia 2050; así mismo el DNP ha alineado la economía circular con el plan </w:t>
            </w:r>
            <w:r w:rsidRPr="00AB1C80">
              <w:rPr>
                <w:rFonts w:eastAsia="Times New Roman" w:cs="Arial"/>
                <w:color w:val="000000"/>
                <w:sz w:val="18"/>
                <w:szCs w:val="18"/>
                <w:lang w:eastAsia="es-CO"/>
              </w:rPr>
              <w:lastRenderedPageBreak/>
              <w:t>energético nacional y con otras políticas públicas que están dentro del sector.</w:t>
            </w:r>
          </w:p>
          <w:p w14:paraId="3EC61F02" w14:textId="77777777" w:rsidR="005A583B" w:rsidRPr="00AB1C80" w:rsidRDefault="005A583B" w:rsidP="00AB1C80">
            <w:pPr>
              <w:spacing w:line="276" w:lineRule="auto"/>
              <w:rPr>
                <w:rFonts w:eastAsia="Times New Roman" w:cs="Arial"/>
                <w:color w:val="000000"/>
                <w:sz w:val="18"/>
                <w:szCs w:val="18"/>
                <w:lang w:eastAsia="es-CO"/>
              </w:rPr>
            </w:pPr>
          </w:p>
          <w:p w14:paraId="51A06EBC" w14:textId="5C8809E6"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Tanto el CONPES de transición energética y el Plan Nacional de Desarrollo que se va a desarrollar a partir del año 2022, será una construcción colectiva de todas las entidades y de todos los actores del sector minero energético, en el que se </w:t>
            </w:r>
            <w:r w:rsidR="00A54D0A" w:rsidRPr="00AB1C80">
              <w:rPr>
                <w:rFonts w:eastAsia="Times New Roman" w:cs="Arial"/>
                <w:color w:val="000000"/>
                <w:sz w:val="18"/>
                <w:szCs w:val="18"/>
                <w:lang w:eastAsia="es-CO"/>
              </w:rPr>
              <w:t>va a</w:t>
            </w:r>
            <w:r w:rsidRPr="00AB1C80">
              <w:rPr>
                <w:rFonts w:eastAsia="Times New Roman" w:cs="Arial"/>
                <w:color w:val="000000"/>
                <w:sz w:val="18"/>
                <w:szCs w:val="18"/>
                <w:lang w:eastAsia="es-CO"/>
              </w:rPr>
              <w:t xml:space="preserve"> dejar plasmado cual es la hoja de ruta que se tiene que seguir dentro de los siguientes años en el sector minero y los demás sectores q componen la economía en el país. </w:t>
            </w:r>
          </w:p>
        </w:tc>
      </w:tr>
      <w:tr w:rsidR="005A583B" w:rsidRPr="00AB1C80" w14:paraId="707270AA"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2BE1072E"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Secretaría de Minas - Gobernación de Antioquia</w:t>
            </w:r>
          </w:p>
        </w:tc>
        <w:tc>
          <w:tcPr>
            <w:tcW w:w="1701" w:type="dxa"/>
            <w:tcBorders>
              <w:top w:val="nil"/>
              <w:left w:val="nil"/>
              <w:bottom w:val="single" w:sz="4" w:space="0" w:color="auto"/>
              <w:right w:val="single" w:sz="4" w:space="0" w:color="auto"/>
            </w:tcBorders>
            <w:shd w:val="clear" w:color="auto" w:fill="auto"/>
            <w:vAlign w:val="center"/>
            <w:hideMark/>
          </w:tcPr>
          <w:p w14:paraId="72DD316C"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miércoles, 13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2ABDE18A"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Las alternativas de aprovechamiento que no se encuentre consignadas en el instrumento minero implican modificación del mismo, lo que conlleva al desarrollo de nuevos estudios que soporten estos ajustes y estar sujetos tiempos de aprobación inciertos por parte de la autoridad minera siendo un limitante para el aprovechamiento</w:t>
            </w:r>
            <w:r w:rsidRPr="00AB1C80">
              <w:rPr>
                <w:rFonts w:eastAsia="Times New Roman" w:cs="Arial"/>
                <w:color w:val="000000"/>
                <w:sz w:val="18"/>
                <w:szCs w:val="18"/>
                <w:lang w:eastAsia="es-CO"/>
              </w:rPr>
              <w:br/>
              <w:t>Al no contarse actualmente con lineamientos detallados relacionados al manejo y gestión del material estéril en los proyectos mineros, la fiscalización realizada por la autoridad minera únicamente tiene la posibilidad de evaluar aspectos básicos consignados en el instrumento minero y otros un poco más detallados establecidos a partir del instrumento ambiental, sin contar con parámetros de referencias específicos para realizar un seguimiento y evaluación integral al manejo y gestión del estéril.</w:t>
            </w:r>
          </w:p>
        </w:tc>
        <w:tc>
          <w:tcPr>
            <w:tcW w:w="5103" w:type="dxa"/>
            <w:tcBorders>
              <w:top w:val="nil"/>
              <w:left w:val="nil"/>
              <w:bottom w:val="single" w:sz="4" w:space="0" w:color="auto"/>
              <w:right w:val="single" w:sz="4" w:space="0" w:color="auto"/>
            </w:tcBorders>
            <w:shd w:val="clear" w:color="auto" w:fill="auto"/>
            <w:vAlign w:val="center"/>
            <w:hideMark/>
          </w:tcPr>
          <w:p w14:paraId="518234C9"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Dentro de la Secretaría de Minas de Antioquia se están trabajando diferentes proyectos en el seguimiento técnico y jurídico: en Bello con el proceso de arenas y arcillas como uso alternativo, en Tejares con residuos de Amagá para la fabricación de tejas, en el proyecto de Buriticá en el tema de relaves como retrollenado. Igualmente se está trabajando de la mano con el Centro de Información Minero Ambiental del SENA, en el seguimiento de unas pruebas piloto con material estéril encaminado hacia la recuperación de suelos degradados.</w:t>
            </w:r>
          </w:p>
          <w:p w14:paraId="0B2FF211" w14:textId="77777777" w:rsidR="005A583B" w:rsidRPr="00AB1C80" w:rsidRDefault="005A583B" w:rsidP="00AB1C80">
            <w:pPr>
              <w:spacing w:line="276" w:lineRule="auto"/>
              <w:rPr>
                <w:rFonts w:eastAsia="Times New Roman" w:cs="Arial"/>
                <w:color w:val="000000"/>
                <w:sz w:val="18"/>
                <w:szCs w:val="18"/>
                <w:lang w:eastAsia="es-CO"/>
              </w:rPr>
            </w:pPr>
          </w:p>
          <w:p w14:paraId="496630FF"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Por otra parte, La Gobernación de Antioquia, a través de la Secretaría de Desarrollo Económico, están trabajando en convenio con Socia Bpo S.A.S en una formulación de proyectos piloto de economía circular sobre unos corredores de economía circular, uno de los corredores que se iba a empezar a trabajar eran los calcáreos en magdalena medio y oriente en una franja donde están ubicadas todas las cementeras, también están formulando proyectos acerca de las llantas de los camiones mineros que son un impacto en todas partes.</w:t>
            </w:r>
          </w:p>
        </w:tc>
      </w:tr>
      <w:tr w:rsidR="005A583B" w:rsidRPr="00AB1C80" w14:paraId="5A640BE4"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71591547"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Servicio Geológico Colombiano</w:t>
            </w:r>
          </w:p>
        </w:tc>
        <w:tc>
          <w:tcPr>
            <w:tcW w:w="1701" w:type="dxa"/>
            <w:tcBorders>
              <w:top w:val="nil"/>
              <w:left w:val="nil"/>
              <w:bottom w:val="single" w:sz="4" w:space="0" w:color="auto"/>
              <w:right w:val="single" w:sz="4" w:space="0" w:color="auto"/>
            </w:tcBorders>
            <w:shd w:val="clear" w:color="auto" w:fill="auto"/>
            <w:vAlign w:val="center"/>
            <w:hideMark/>
          </w:tcPr>
          <w:p w14:paraId="019237D0"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jueves, 21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6173D325"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caracterización fisicoquímica y mecánica del mineral (material estéril) es la base para el planteamiento de cualquier alternativa de disposición o manejo, a partir del conocimiento de sus características es posible plantear o descartar los usos formulados para el material.</w:t>
            </w:r>
          </w:p>
        </w:tc>
        <w:tc>
          <w:tcPr>
            <w:tcW w:w="5103" w:type="dxa"/>
            <w:tcBorders>
              <w:top w:val="nil"/>
              <w:left w:val="nil"/>
              <w:bottom w:val="single" w:sz="4" w:space="0" w:color="auto"/>
              <w:right w:val="single" w:sz="4" w:space="0" w:color="auto"/>
            </w:tcBorders>
            <w:shd w:val="clear" w:color="auto" w:fill="auto"/>
            <w:vAlign w:val="center"/>
            <w:hideMark/>
          </w:tcPr>
          <w:p w14:paraId="33780F34" w14:textId="198132EB"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De acuerdo con el equipo de dirección de recursos minerales del SGC, se han venido ejecutando actualmente 11 proyectos uno de los cuales está liderado por el grupo de geología médica, en el cual se está abordando en una primera fase un plan de trabajo para pasivos ambientales mineros en el cual el objetivo es generar conocimiento que pueda contribuir al reaprovechamiento o a la reutilización de los residuos mineros (estériles, relaves). </w:t>
            </w:r>
          </w:p>
          <w:p w14:paraId="1FEC1E40" w14:textId="77777777" w:rsidR="005A583B" w:rsidRPr="00AB1C80" w:rsidRDefault="005A583B" w:rsidP="00AB1C80">
            <w:pPr>
              <w:spacing w:line="276" w:lineRule="auto"/>
              <w:rPr>
                <w:rFonts w:eastAsia="Times New Roman" w:cs="Arial"/>
                <w:color w:val="000000"/>
                <w:sz w:val="18"/>
                <w:szCs w:val="18"/>
                <w:lang w:eastAsia="es-CO"/>
              </w:rPr>
            </w:pPr>
          </w:p>
          <w:p w14:paraId="4051475B"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Se ha abordado el tema de pasivos ambientales en el año actual, para contribuir con el aprovechamiento y reutilización de residuos mineros y están trabajando para concretar la zona piloto de influencia hacia el desarrollo del proyecto. Dentro de los documentos de información secundaria que se están recolectando por parte del SGC, están los programas europeos de economía circular. La extracción a partir de residuos mineros es uno de los temas que están trabajando actualmente y el otro tema son elementos mayores que pueden ser considerados de importancia en ciertas mineralizaciones como p.e el aluminio.</w:t>
            </w:r>
          </w:p>
          <w:p w14:paraId="092B3A30" w14:textId="77777777" w:rsidR="005A583B" w:rsidRPr="00AB1C80" w:rsidRDefault="005A583B" w:rsidP="00AB1C80">
            <w:pPr>
              <w:spacing w:line="276" w:lineRule="auto"/>
              <w:rPr>
                <w:rFonts w:eastAsia="Times New Roman" w:cs="Arial"/>
                <w:color w:val="000000"/>
                <w:sz w:val="18"/>
                <w:szCs w:val="18"/>
                <w:lang w:eastAsia="es-CO"/>
              </w:rPr>
            </w:pPr>
          </w:p>
        </w:tc>
      </w:tr>
      <w:tr w:rsidR="005A583B" w:rsidRPr="00AB1C80" w14:paraId="1CA09F7A"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4B291C78"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Cornare</w:t>
            </w:r>
          </w:p>
        </w:tc>
        <w:tc>
          <w:tcPr>
            <w:tcW w:w="1701" w:type="dxa"/>
            <w:tcBorders>
              <w:top w:val="nil"/>
              <w:left w:val="nil"/>
              <w:bottom w:val="single" w:sz="4" w:space="0" w:color="auto"/>
              <w:right w:val="single" w:sz="4" w:space="0" w:color="auto"/>
            </w:tcBorders>
            <w:shd w:val="clear" w:color="auto" w:fill="auto"/>
            <w:vAlign w:val="center"/>
            <w:hideMark/>
          </w:tcPr>
          <w:p w14:paraId="0335FDFD"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viernes, 22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495D96F2"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Los términos de referencia para el seguimiento y vigilancia de las estructuras asociadas a las disposiciones de los estériles son definidos a partir de los términos de referencia elaborados por el MADS, siendo ajustados a las necesidades identificadas en la jurisdicción de CORNARE. Estos son la base para la elaboración de los diseños de las estructuras para la gestión del material estéril por parte de los proyectos mineros en donde se hace fundamental el manejo del agua y la preservación de la estabilidad física de las áreas.</w:t>
            </w:r>
          </w:p>
        </w:tc>
        <w:tc>
          <w:tcPr>
            <w:tcW w:w="5103" w:type="dxa"/>
            <w:tcBorders>
              <w:top w:val="nil"/>
              <w:left w:val="nil"/>
              <w:bottom w:val="single" w:sz="4" w:space="0" w:color="auto"/>
              <w:right w:val="single" w:sz="4" w:space="0" w:color="auto"/>
            </w:tcBorders>
            <w:shd w:val="clear" w:color="auto" w:fill="auto"/>
            <w:vAlign w:val="center"/>
            <w:hideMark/>
          </w:tcPr>
          <w:p w14:paraId="2674990F" w14:textId="6353ABE1"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Dentro de las experiencias que tiene CORNARE, la mayoría de los proyectos mineros a los que les hacen seguimiento aprovechan el material estéril para la construcción de vías dentro del mismo proyecto y algunas construcciones que se generan dentro del título.</w:t>
            </w:r>
          </w:p>
          <w:p w14:paraId="6220A871" w14:textId="77777777" w:rsidR="005A583B" w:rsidRPr="00AB1C80" w:rsidRDefault="005A583B" w:rsidP="00AB1C80">
            <w:pPr>
              <w:spacing w:line="276" w:lineRule="auto"/>
              <w:rPr>
                <w:rFonts w:eastAsia="Times New Roman" w:cs="Arial"/>
                <w:color w:val="000000"/>
                <w:sz w:val="18"/>
                <w:szCs w:val="18"/>
                <w:lang w:eastAsia="es-CO"/>
              </w:rPr>
            </w:pPr>
          </w:p>
          <w:p w14:paraId="19EAE8A5"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Un caso particular al que le hacen seguimiento y control es en el proyecto minero Antioquia Gold, el cual genera relaves, tienen presas de relaves muy grandes y ese material es considerado para la corporación como un material estéril, contando con una diferencia y es que ese material hasta el </w:t>
            </w:r>
            <w:r w:rsidRPr="00AB1C80">
              <w:rPr>
                <w:rFonts w:eastAsia="Times New Roman" w:cs="Arial"/>
                <w:color w:val="000000"/>
                <w:sz w:val="18"/>
                <w:szCs w:val="18"/>
                <w:lang w:eastAsia="es-CO"/>
              </w:rPr>
              <w:lastRenderedPageBreak/>
              <w:t>momento no se le ha encontrado un uso adecuado, lo cual se puede convertir en un pasivo ambiental impactante, desde la entidad ambiental se les está haciendo el acompañamiento para la investigación acerca de cómo se le podría dar uso a ese material para su aprovechamiento.</w:t>
            </w:r>
          </w:p>
          <w:p w14:paraId="63EBC380" w14:textId="77777777" w:rsidR="005A583B" w:rsidRPr="00AB1C80" w:rsidRDefault="005A583B" w:rsidP="00AB1C80">
            <w:pPr>
              <w:spacing w:line="276" w:lineRule="auto"/>
              <w:rPr>
                <w:rFonts w:eastAsia="Times New Roman" w:cs="Arial"/>
                <w:color w:val="000000"/>
                <w:sz w:val="18"/>
                <w:szCs w:val="18"/>
                <w:lang w:eastAsia="es-CO"/>
              </w:rPr>
            </w:pPr>
          </w:p>
          <w:p w14:paraId="66B8033A" w14:textId="31E61228"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Dentro de la corporación no se tiene contemplado el tema específico de economía circular, sin embargo, se tiene directamente el apoyo a los procesos de formalización que en estos momentos se tiene en la jurisdicción que son varios, igualmente se tiene una línea de trabajo muy dedicada a apoyar esas formalizaciones de pequeños mineros.</w:t>
            </w:r>
          </w:p>
          <w:p w14:paraId="3C60C055" w14:textId="77777777" w:rsidR="005A583B" w:rsidRPr="00AB1C80" w:rsidRDefault="005A583B" w:rsidP="00AB1C80">
            <w:pPr>
              <w:spacing w:line="276" w:lineRule="auto"/>
              <w:rPr>
                <w:rFonts w:eastAsia="Times New Roman" w:cs="Arial"/>
                <w:color w:val="000000"/>
                <w:sz w:val="18"/>
                <w:szCs w:val="18"/>
                <w:lang w:eastAsia="es-CO"/>
              </w:rPr>
            </w:pPr>
          </w:p>
          <w:p w14:paraId="52BFA16C" w14:textId="34BADF22"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Desde el punto de vista institucional la corporación hasta el momento, ningún proyecto se ha manifestado interés en los procesos de economía circular.</w:t>
            </w:r>
          </w:p>
        </w:tc>
      </w:tr>
      <w:tr w:rsidR="005A583B" w:rsidRPr="00AB1C80" w14:paraId="36BFE6C5"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5912CCBB"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Corantioquia</w:t>
            </w:r>
          </w:p>
        </w:tc>
        <w:tc>
          <w:tcPr>
            <w:tcW w:w="1701" w:type="dxa"/>
            <w:tcBorders>
              <w:top w:val="nil"/>
              <w:left w:val="nil"/>
              <w:bottom w:val="single" w:sz="4" w:space="0" w:color="auto"/>
              <w:right w:val="single" w:sz="4" w:space="0" w:color="auto"/>
            </w:tcBorders>
            <w:shd w:val="clear" w:color="auto" w:fill="auto"/>
            <w:vAlign w:val="center"/>
            <w:hideMark/>
          </w:tcPr>
          <w:p w14:paraId="414511BA"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viernes, 22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11C5E6B6"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Existen alternativas de disposición que permiten reducir el volumen del material estéril a disponer en escombreras o en ubicaciones inadecuadas como rondas o cauces de cuerpos hídricos lo que implica a su vez minimización en la generación de impactos ambientales, los ajustes al instrumento ambiental para el aprovechamiento del estéril implica su modificación, proceso que muchas veces puede verse sujeto a largos tiempos de respuesta por parte de las Corporaciones debido a recursos limitados y a las directrices legales actuales que limitan o no dan claridad respecto al desarrollo de estos procesos.</w:t>
            </w:r>
          </w:p>
        </w:tc>
        <w:tc>
          <w:tcPr>
            <w:tcW w:w="5103" w:type="dxa"/>
            <w:tcBorders>
              <w:top w:val="nil"/>
              <w:left w:val="nil"/>
              <w:bottom w:val="single" w:sz="4" w:space="0" w:color="auto"/>
              <w:right w:val="single" w:sz="4" w:space="0" w:color="auto"/>
            </w:tcBorders>
            <w:shd w:val="clear" w:color="auto" w:fill="auto"/>
            <w:vAlign w:val="center"/>
            <w:hideMark/>
          </w:tcPr>
          <w:p w14:paraId="70309B4C" w14:textId="000EE0D0"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Dentro del intercambio de información con el Ingeniero Víctor Manuel Aguirre de Corantioquia, afirma que siempre se han tenido dificultades al momento del aprovechamiento de los residuos mineros.</w:t>
            </w:r>
          </w:p>
          <w:p w14:paraId="13C2A1E2" w14:textId="77777777" w:rsidR="005A583B" w:rsidRPr="00AB1C80" w:rsidRDefault="005A583B" w:rsidP="00AB1C80">
            <w:pPr>
              <w:spacing w:line="276" w:lineRule="auto"/>
              <w:rPr>
                <w:rFonts w:eastAsia="Times New Roman" w:cs="Arial"/>
                <w:b/>
                <w:color w:val="000000"/>
                <w:sz w:val="18"/>
                <w:szCs w:val="18"/>
                <w:lang w:eastAsia="es-CO"/>
              </w:rPr>
            </w:pPr>
          </w:p>
          <w:p w14:paraId="2CC9048A"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Desde el punto de vista institucional, la corporación ha estimulado la economía circular en otros sectores, mas no en el área minera ya que es muy desconocido el concepto dentro del sector minero, no hay una política y lineamientos claros orientados específicamente en el ámbito minero. Dentro de las funciones de la evaluación y seguimiento de la corporación, se estimula al empresario para que innove en procesos de economía circular. </w:t>
            </w:r>
          </w:p>
        </w:tc>
      </w:tr>
      <w:tr w:rsidR="005A583B" w:rsidRPr="00AB1C80" w14:paraId="06DF3556"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hideMark/>
          </w:tcPr>
          <w:p w14:paraId="7B04D5BA"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Waste2Worth</w:t>
            </w:r>
          </w:p>
        </w:tc>
        <w:tc>
          <w:tcPr>
            <w:tcW w:w="1701" w:type="dxa"/>
            <w:tcBorders>
              <w:top w:val="nil"/>
              <w:left w:val="nil"/>
              <w:bottom w:val="single" w:sz="4" w:space="0" w:color="auto"/>
              <w:right w:val="single" w:sz="4" w:space="0" w:color="auto"/>
            </w:tcBorders>
            <w:shd w:val="clear" w:color="auto" w:fill="auto"/>
            <w:vAlign w:val="center"/>
            <w:hideMark/>
          </w:tcPr>
          <w:p w14:paraId="03882953"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lunes, 25 de octubre de 2021</w:t>
            </w:r>
          </w:p>
        </w:tc>
        <w:tc>
          <w:tcPr>
            <w:tcW w:w="4673" w:type="dxa"/>
            <w:tcBorders>
              <w:top w:val="nil"/>
              <w:left w:val="nil"/>
              <w:bottom w:val="single" w:sz="4" w:space="0" w:color="auto"/>
              <w:right w:val="single" w:sz="4" w:space="0" w:color="auto"/>
            </w:tcBorders>
            <w:shd w:val="clear" w:color="auto" w:fill="auto"/>
            <w:vAlign w:val="center"/>
            <w:hideMark/>
          </w:tcPr>
          <w:p w14:paraId="19A6063C" w14:textId="6469DD53"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w:t>
            </w:r>
            <w:r w:rsidR="00F65034" w:rsidRPr="00F65034">
              <w:rPr>
                <w:rFonts w:eastAsia="Times New Roman" w:cs="Arial"/>
                <w:color w:val="000000"/>
                <w:sz w:val="18"/>
                <w:szCs w:val="18"/>
                <w:lang w:eastAsia="es-CO"/>
              </w:rPr>
              <w:t xml:space="preserve">El aprovechamiento del material estéril es un aspecto que se puede desarrollar dentro de las estrategias de economía circular, este aprovechamiento del recuso </w:t>
            </w:r>
            <w:r w:rsidR="00F65034" w:rsidRPr="00F65034">
              <w:rPr>
                <w:rFonts w:eastAsia="Times New Roman" w:cs="Arial"/>
                <w:color w:val="000000"/>
                <w:sz w:val="18"/>
                <w:szCs w:val="18"/>
                <w:lang w:eastAsia="es-CO"/>
              </w:rPr>
              <w:lastRenderedPageBreak/>
              <w:t>implica considerar variables de carácter, técnico, social, ambiental, económico y legal. Actualmente los requerimientos del mercado global establecen la necesidad de desarrollar proyectos en donde se maximice el uso adecuado y circular de los recursos y minimizando la disposición de residuos, en este caso estéril en las escombreras.</w:t>
            </w:r>
          </w:p>
        </w:tc>
        <w:tc>
          <w:tcPr>
            <w:tcW w:w="5103" w:type="dxa"/>
            <w:tcBorders>
              <w:top w:val="nil"/>
              <w:left w:val="nil"/>
              <w:bottom w:val="single" w:sz="4" w:space="0" w:color="auto"/>
              <w:right w:val="single" w:sz="4" w:space="0" w:color="auto"/>
            </w:tcBorders>
            <w:shd w:val="clear" w:color="auto" w:fill="auto"/>
            <w:vAlign w:val="center"/>
            <w:hideMark/>
          </w:tcPr>
          <w:p w14:paraId="1149DE4D" w14:textId="6854240A"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lastRenderedPageBreak/>
              <w:t xml:space="preserve">Joaquín Caraballo experto en economía circular, establece y aclara que la economía circular no es gestión de residuos 2.0, es algo distinto como la recuperación de materiales que es uno </w:t>
            </w:r>
            <w:r w:rsidRPr="00AB1C80">
              <w:rPr>
                <w:rFonts w:eastAsia="Times New Roman" w:cs="Arial"/>
                <w:color w:val="000000"/>
                <w:sz w:val="18"/>
                <w:szCs w:val="18"/>
                <w:lang w:eastAsia="es-CO"/>
              </w:rPr>
              <w:lastRenderedPageBreak/>
              <w:t>de los modelos de negocio, pero es más ambicioso a ver todo el modelo de producción y consumo, como lineamientos de política pública. Por otra parte, se expone es que hace poco desde la ACM se trató de hacer un ejercicio (encuesta) liderado por Ana Zamora, que pudieran leer las buenas prácticas en economía circular que tiene la industria. Igualmente, plantea la revisión detallada de la política de comunicación y cultura ciudadana en el marco de la estrategia nacional de economía circular con el fin de adquirir elementos importantes para la industria minera.</w:t>
            </w:r>
          </w:p>
          <w:p w14:paraId="59E1F3C8" w14:textId="77777777" w:rsidR="005A583B" w:rsidRPr="00AB1C80" w:rsidRDefault="005A583B" w:rsidP="00AB1C80">
            <w:pPr>
              <w:spacing w:line="276" w:lineRule="auto"/>
              <w:rPr>
                <w:rFonts w:eastAsia="Times New Roman" w:cs="Arial"/>
                <w:color w:val="000000"/>
                <w:sz w:val="18"/>
                <w:szCs w:val="18"/>
                <w:lang w:eastAsia="es-CO"/>
              </w:rPr>
            </w:pPr>
          </w:p>
          <w:p w14:paraId="4C522841" w14:textId="595F9813"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Es importante generar escenarios de innovación jurídica, la ANLA, el Ministerio de Ambiente entre otros, son conscientes de que las normas están creadas para la gestión de los residuos, pero si no son considerados como residuos desde el primer momento se necesita hacer innovación jurídica y actualmente hay unos espacios de discusión a partir de la ENEC y la política que permiten presentar los casos particulares de economía circular. De acuerdo con lo anterior se propone que para el sector minero a través del Minminas se deben crear espacios de innovación jurídica, donde se puedan recibir unas solicitudes específicas, evaluar su viabilidad en el orden de impacto de circularidad de este y poder habilitar estos canales a través de guías, programas y/o planes.</w:t>
            </w:r>
          </w:p>
        </w:tc>
      </w:tr>
      <w:tr w:rsidR="005A583B" w:rsidRPr="00AB1C80" w14:paraId="2450E69E" w14:textId="77777777" w:rsidTr="005A583B">
        <w:trPr>
          <w:trHeight w:val="20"/>
          <w:jc w:val="center"/>
        </w:trPr>
        <w:tc>
          <w:tcPr>
            <w:tcW w:w="1843" w:type="dxa"/>
            <w:tcBorders>
              <w:top w:val="nil"/>
              <w:left w:val="single" w:sz="4" w:space="0" w:color="auto"/>
              <w:bottom w:val="single" w:sz="4" w:space="0" w:color="auto"/>
              <w:right w:val="single" w:sz="4" w:space="0" w:color="auto"/>
            </w:tcBorders>
            <w:shd w:val="clear" w:color="auto" w:fill="auto"/>
            <w:vAlign w:val="center"/>
          </w:tcPr>
          <w:p w14:paraId="3C0DD10D"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lastRenderedPageBreak/>
              <w:t>Universidad Nacional</w:t>
            </w:r>
          </w:p>
        </w:tc>
        <w:tc>
          <w:tcPr>
            <w:tcW w:w="1701" w:type="dxa"/>
            <w:tcBorders>
              <w:top w:val="nil"/>
              <w:left w:val="nil"/>
              <w:bottom w:val="single" w:sz="4" w:space="0" w:color="auto"/>
              <w:right w:val="single" w:sz="4" w:space="0" w:color="auto"/>
            </w:tcBorders>
            <w:shd w:val="clear" w:color="auto" w:fill="auto"/>
            <w:vAlign w:val="center"/>
          </w:tcPr>
          <w:p w14:paraId="7919AB06" w14:textId="77777777" w:rsidR="005A583B" w:rsidRPr="00AB1C80" w:rsidRDefault="005A583B" w:rsidP="00AB1C80">
            <w:pPr>
              <w:spacing w:line="276" w:lineRule="auto"/>
              <w:jc w:val="center"/>
              <w:rPr>
                <w:rFonts w:eastAsia="Times New Roman" w:cs="Arial"/>
                <w:color w:val="000000"/>
                <w:sz w:val="18"/>
                <w:szCs w:val="18"/>
                <w:lang w:eastAsia="es-CO"/>
              </w:rPr>
            </w:pPr>
            <w:r w:rsidRPr="00AB1C80">
              <w:rPr>
                <w:rFonts w:eastAsia="Times New Roman" w:cs="Arial"/>
                <w:color w:val="000000"/>
                <w:sz w:val="18"/>
                <w:szCs w:val="18"/>
                <w:lang w:eastAsia="es-CO"/>
              </w:rPr>
              <w:t>martes, 26 de octubre de 2021</w:t>
            </w:r>
          </w:p>
        </w:tc>
        <w:tc>
          <w:tcPr>
            <w:tcW w:w="4673" w:type="dxa"/>
            <w:tcBorders>
              <w:top w:val="nil"/>
              <w:left w:val="nil"/>
              <w:bottom w:val="single" w:sz="4" w:space="0" w:color="auto"/>
              <w:right w:val="single" w:sz="4" w:space="0" w:color="auto"/>
            </w:tcBorders>
            <w:shd w:val="clear" w:color="auto" w:fill="auto"/>
            <w:vAlign w:val="center"/>
          </w:tcPr>
          <w:p w14:paraId="68C2F412" w14:textId="2D92957B" w:rsidR="005A583B" w:rsidRPr="00AB1C80" w:rsidRDefault="00D935B9" w:rsidP="00AB1C80">
            <w:pPr>
              <w:spacing w:line="276" w:lineRule="auto"/>
              <w:rPr>
                <w:rFonts w:eastAsia="Times New Roman" w:cs="Arial"/>
                <w:color w:val="000000"/>
                <w:sz w:val="18"/>
                <w:szCs w:val="18"/>
                <w:lang w:eastAsia="es-CO"/>
              </w:rPr>
            </w:pPr>
            <w:r w:rsidRPr="00D935B9">
              <w:rPr>
                <w:rFonts w:eastAsia="Times New Roman" w:cs="Arial"/>
                <w:color w:val="000000"/>
                <w:sz w:val="18"/>
                <w:szCs w:val="18"/>
                <w:lang w:eastAsia="es-CO"/>
              </w:rPr>
              <w:t>Para el manejo del material estéril es fundamental evaluar los procesos actuales desarrollados en los proyectos mineros en ejecución y en formulación, ya que a partir de esta evaluación es posible contar con una base de conocimiento con la que es posible establecer las variables, actores, oportunidades de aprovechamiento e impedimentos de carácter técnico, ambiental, social, económico y legal para la gestión integral del estéril.</w:t>
            </w:r>
          </w:p>
        </w:tc>
        <w:tc>
          <w:tcPr>
            <w:tcW w:w="5103" w:type="dxa"/>
            <w:tcBorders>
              <w:top w:val="nil"/>
              <w:left w:val="nil"/>
              <w:bottom w:val="single" w:sz="4" w:space="0" w:color="auto"/>
              <w:right w:val="single" w:sz="4" w:space="0" w:color="auto"/>
            </w:tcBorders>
            <w:shd w:val="clear" w:color="auto" w:fill="auto"/>
            <w:vAlign w:val="center"/>
          </w:tcPr>
          <w:p w14:paraId="1A1A5026" w14:textId="77777777" w:rsidR="005A583B" w:rsidRPr="00AB1C80" w:rsidRDefault="005A583B" w:rsidP="00AB1C80">
            <w:pPr>
              <w:spacing w:line="276" w:lineRule="auto"/>
              <w:rPr>
                <w:rFonts w:cs="Arial"/>
                <w:sz w:val="18"/>
                <w:szCs w:val="18"/>
              </w:rPr>
            </w:pPr>
            <w:r w:rsidRPr="00AB1C80">
              <w:rPr>
                <w:rFonts w:cs="Arial"/>
                <w:sz w:val="18"/>
                <w:szCs w:val="18"/>
              </w:rPr>
              <w:t xml:space="preserve">Se menciona que la economía circular es valorizar los residuos en sí, en estos momentos la Universidad Nacional con en el grupo de materiales está trabajando en la valorización de los residuos que se generan de la minería aluvial, en este caso de los residuos de tierras raras que se generan en Mineros, los cuales no se habían caracterizado, y se presentan muchos minerales de interés, uno de ellos el mineral más comprometedor por su valorización económica que puede </w:t>
            </w:r>
            <w:r w:rsidRPr="00AB1C80">
              <w:rPr>
                <w:rFonts w:cs="Arial"/>
                <w:sz w:val="18"/>
                <w:szCs w:val="18"/>
              </w:rPr>
              <w:lastRenderedPageBreak/>
              <w:t>tener es la monacita, la principal mena de tierras raras, así mismo de este mineral se pueden derivar muchas cosas pero se debe tener en cuenta un aspecto, y es depende del tipo de mineral y el tipo de extracción que se va hacer ya sea a cielo abierto, aluvial o subterránea.</w:t>
            </w:r>
          </w:p>
          <w:p w14:paraId="7E819413" w14:textId="77777777" w:rsidR="005A583B" w:rsidRPr="00AB1C80" w:rsidRDefault="005A583B" w:rsidP="00AB1C80">
            <w:pPr>
              <w:spacing w:line="276" w:lineRule="auto"/>
              <w:rPr>
                <w:rFonts w:cs="Arial"/>
                <w:sz w:val="18"/>
                <w:szCs w:val="18"/>
              </w:rPr>
            </w:pPr>
          </w:p>
          <w:p w14:paraId="4C1A87AD" w14:textId="77777777" w:rsidR="005A583B" w:rsidRPr="00AB1C80" w:rsidRDefault="005A583B" w:rsidP="00AB1C80">
            <w:pPr>
              <w:spacing w:line="276" w:lineRule="auto"/>
              <w:rPr>
                <w:rFonts w:cs="Arial"/>
                <w:sz w:val="18"/>
                <w:szCs w:val="18"/>
              </w:rPr>
            </w:pPr>
            <w:r w:rsidRPr="00AB1C80">
              <w:rPr>
                <w:rFonts w:cs="Arial"/>
                <w:sz w:val="18"/>
                <w:szCs w:val="18"/>
              </w:rPr>
              <w:t>Se establece que una de las ventajas que presenta la minería aluvial frente a la extracción a cielo abierto y subterráneo, es que el volumen de estériles y relaves es mucho menor.</w:t>
            </w:r>
          </w:p>
          <w:p w14:paraId="30D3CB8B" w14:textId="77777777" w:rsidR="005A583B" w:rsidRPr="00AB1C80" w:rsidRDefault="005A583B" w:rsidP="00AB1C80">
            <w:pPr>
              <w:spacing w:line="276" w:lineRule="auto"/>
              <w:rPr>
                <w:rFonts w:eastAsia="Times New Roman" w:cs="Arial"/>
                <w:color w:val="000000"/>
                <w:sz w:val="18"/>
                <w:szCs w:val="18"/>
                <w:lang w:eastAsia="es-CO"/>
              </w:rPr>
            </w:pPr>
          </w:p>
          <w:p w14:paraId="48346937" w14:textId="4359EA4B"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sostenibilidad, el simple hecho de indicar que se está implementando estrategias de economía circular no implica que se está contribuyendo a la sostenibilidad ambiental, social y económica del proceso, ya que también hay estrategias de economía circular que son insostenibles. La sostenibilidad es la meta, la economía circular es una de las estrategias que se tiene para lograr esa sostenibilidad, y es una estrategia en términos de la cadena productiva o de la cadena de suministro.</w:t>
            </w:r>
          </w:p>
          <w:p w14:paraId="6B7E0D78" w14:textId="77777777" w:rsidR="005A583B" w:rsidRPr="00AB1C80" w:rsidRDefault="005A583B" w:rsidP="00AB1C80">
            <w:pPr>
              <w:spacing w:line="276" w:lineRule="auto"/>
              <w:rPr>
                <w:rFonts w:eastAsia="Times New Roman" w:cs="Arial"/>
                <w:color w:val="000000"/>
                <w:sz w:val="18"/>
                <w:szCs w:val="18"/>
                <w:lang w:eastAsia="es-CO"/>
              </w:rPr>
            </w:pPr>
          </w:p>
          <w:p w14:paraId="1DB53508"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La economía circular debe estar siempre acompañada de metodologías y análisis que brinden indicadores ambientales, sociales y económicos. Dentro de lo planteado por el equipo ATG se propone incluir metodologías alternas para evaluar si esa valorización de residuos es sostenible o no, como: metodologías de análisis de círculo de vida ambiental, el análisis de círculo de vida social y el análisis de círculo de vida económica.</w:t>
            </w:r>
          </w:p>
          <w:p w14:paraId="4BC02369" w14:textId="77777777" w:rsidR="005A583B" w:rsidRPr="00AB1C80" w:rsidRDefault="005A583B" w:rsidP="00AB1C80">
            <w:pPr>
              <w:spacing w:line="276" w:lineRule="auto"/>
              <w:rPr>
                <w:rFonts w:eastAsia="Times New Roman" w:cs="Arial"/>
                <w:color w:val="000000"/>
                <w:sz w:val="18"/>
                <w:szCs w:val="18"/>
                <w:lang w:eastAsia="es-CO"/>
              </w:rPr>
            </w:pPr>
          </w:p>
          <w:p w14:paraId="251B5321" w14:textId="77777777" w:rsidR="005A583B" w:rsidRPr="00AB1C80" w:rsidRDefault="005A583B" w:rsidP="00AB1C80">
            <w:pPr>
              <w:spacing w:line="276" w:lineRule="auto"/>
              <w:rPr>
                <w:rFonts w:eastAsia="Times New Roman" w:cs="Arial"/>
                <w:color w:val="000000"/>
                <w:sz w:val="18"/>
                <w:szCs w:val="18"/>
                <w:lang w:eastAsia="es-CO"/>
              </w:rPr>
            </w:pPr>
            <w:r w:rsidRPr="00AB1C80">
              <w:rPr>
                <w:rFonts w:eastAsia="Times New Roman" w:cs="Arial"/>
                <w:color w:val="000000"/>
                <w:sz w:val="18"/>
                <w:szCs w:val="18"/>
                <w:lang w:eastAsia="es-CO"/>
              </w:rPr>
              <w:t xml:space="preserve">Se establece que es necesario definir una estandarización en cómo implementar las estrategias de economía circular, sin embargo también se es necesario estandarizar los patrones de medición, los indicadores sociales, económicos, ambientales </w:t>
            </w:r>
            <w:r w:rsidRPr="00AB1C80">
              <w:rPr>
                <w:rFonts w:eastAsia="Times New Roman" w:cs="Arial"/>
                <w:color w:val="000000"/>
                <w:sz w:val="18"/>
                <w:szCs w:val="18"/>
                <w:lang w:eastAsia="es-CO"/>
              </w:rPr>
              <w:lastRenderedPageBreak/>
              <w:t xml:space="preserve">que puedan generar una trazabilidad a la hora de comparar diferentes compañías o diferentes escenarios dentro de un mismo proceso productivo, es necesario estandarizar las metodologías de análisis y el paso a paso para tener un índice de medición de circularidad.  </w:t>
            </w:r>
          </w:p>
        </w:tc>
      </w:tr>
    </w:tbl>
    <w:p w14:paraId="63D8A162" w14:textId="4084FE1D" w:rsidR="00ED10D6" w:rsidRPr="00AB1C80" w:rsidRDefault="00ED10D6" w:rsidP="00AB1C80">
      <w:pPr>
        <w:pStyle w:val="Fuente"/>
        <w:spacing w:line="276" w:lineRule="auto"/>
        <w:rPr>
          <w:rFonts w:cs="Arial"/>
          <w:szCs w:val="24"/>
          <w:lang w:val="es-CO"/>
        </w:rPr>
      </w:pPr>
      <w:r w:rsidRPr="00AB1C80">
        <w:rPr>
          <w:rFonts w:cs="Arial"/>
          <w:lang w:val="es-CO"/>
        </w:rPr>
        <w:lastRenderedPageBreak/>
        <w:t>Fuente: ATG Ltda., 2020.</w:t>
      </w:r>
    </w:p>
    <w:p w14:paraId="201C5B30" w14:textId="7AE3091D" w:rsidR="00ED10D6" w:rsidRPr="00AB1C80" w:rsidRDefault="00ED10D6" w:rsidP="00AB1C80">
      <w:pPr>
        <w:spacing w:line="276" w:lineRule="auto"/>
        <w:rPr>
          <w:rFonts w:cs="Arial"/>
          <w:color w:val="000000" w:themeColor="text1"/>
          <w:szCs w:val="24"/>
        </w:rPr>
      </w:pPr>
    </w:p>
    <w:p w14:paraId="32685880" w14:textId="77777777" w:rsidR="00ED10D6" w:rsidRPr="00AB1C80" w:rsidRDefault="00ED10D6" w:rsidP="00AB1C80">
      <w:pPr>
        <w:spacing w:line="276" w:lineRule="auto"/>
        <w:rPr>
          <w:rFonts w:cs="Arial"/>
          <w:color w:val="000000" w:themeColor="text1"/>
          <w:szCs w:val="24"/>
        </w:rPr>
        <w:sectPr w:rsidR="00ED10D6" w:rsidRPr="00AB1C80" w:rsidSect="00780E6F">
          <w:pgSz w:w="15840" w:h="12240" w:orient="landscape"/>
          <w:pgMar w:top="1701" w:right="1418" w:bottom="1701" w:left="1418" w:header="709" w:footer="709" w:gutter="0"/>
          <w:cols w:space="708"/>
          <w:docGrid w:linePitch="360"/>
        </w:sectPr>
      </w:pPr>
    </w:p>
    <w:p w14:paraId="018C12B5" w14:textId="2A2F45C9" w:rsidR="001D1AB4" w:rsidRPr="00AB1C80" w:rsidRDefault="00563BE9" w:rsidP="00AB1C80">
      <w:pPr>
        <w:pStyle w:val="Ttulo1"/>
        <w:spacing w:line="276" w:lineRule="auto"/>
        <w:rPr>
          <w:rFonts w:cs="Arial"/>
          <w:lang w:val="es-CO"/>
        </w:rPr>
      </w:pPr>
      <w:bookmarkStart w:id="151" w:name="_Toc86332946"/>
      <w:r w:rsidRPr="00AB1C80">
        <w:rPr>
          <w:rFonts w:cs="Arial"/>
          <w:lang w:val="es-CO"/>
        </w:rPr>
        <w:lastRenderedPageBreak/>
        <w:t>CONCLUSIONES</w:t>
      </w:r>
      <w:bookmarkEnd w:id="151"/>
    </w:p>
    <w:p w14:paraId="7294E896" w14:textId="72F97C02" w:rsidR="000C5111" w:rsidRPr="00AB1C80" w:rsidRDefault="000C5111" w:rsidP="00AB1C80">
      <w:pPr>
        <w:spacing w:line="276" w:lineRule="auto"/>
        <w:rPr>
          <w:rFonts w:cs="Arial"/>
          <w:color w:val="000000" w:themeColor="text1"/>
        </w:rPr>
      </w:pPr>
    </w:p>
    <w:p w14:paraId="68174765" w14:textId="4227A74E" w:rsidR="00EC1D7A" w:rsidRPr="00AB1C80" w:rsidRDefault="003D49CF" w:rsidP="00AB1C80">
      <w:pPr>
        <w:spacing w:line="276" w:lineRule="auto"/>
        <w:rPr>
          <w:rFonts w:cs="Arial"/>
          <w:b/>
          <w:bCs/>
          <w:color w:val="000000" w:themeColor="text1"/>
        </w:rPr>
      </w:pPr>
      <w:r w:rsidRPr="00AB1C80">
        <w:rPr>
          <w:rFonts w:cs="Arial"/>
          <w:b/>
          <w:bCs/>
          <w:color w:val="000000" w:themeColor="text1"/>
        </w:rPr>
        <w:t>Gestión y Manejo de Estériles</w:t>
      </w:r>
    </w:p>
    <w:p w14:paraId="00092B33" w14:textId="7ACB02B0" w:rsidR="00EC1D7A" w:rsidRPr="00AB1C80" w:rsidRDefault="00EC1D7A" w:rsidP="00AB1C80">
      <w:pPr>
        <w:spacing w:line="276" w:lineRule="auto"/>
        <w:rPr>
          <w:rFonts w:cs="Arial"/>
          <w:color w:val="000000" w:themeColor="text1"/>
        </w:rPr>
      </w:pPr>
    </w:p>
    <w:p w14:paraId="6D47AC92" w14:textId="1160BE1B" w:rsidR="007D50D5" w:rsidRPr="00AB1C80" w:rsidRDefault="007D50D5" w:rsidP="00AB1C80">
      <w:pPr>
        <w:spacing w:line="276" w:lineRule="auto"/>
        <w:rPr>
          <w:rFonts w:cs="Arial"/>
          <w:color w:val="000000" w:themeColor="text1"/>
        </w:rPr>
      </w:pPr>
      <w:r w:rsidRPr="00AB1C80">
        <w:rPr>
          <w:rFonts w:cs="Arial"/>
          <w:color w:val="000000" w:themeColor="text1"/>
        </w:rPr>
        <w:t xml:space="preserve">La presión social y ambiental, y el aumento de la demanda y precios de los </w:t>
      </w:r>
      <w:proofErr w:type="spellStart"/>
      <w:r w:rsidRPr="00AB1C80">
        <w:rPr>
          <w:rFonts w:cs="Arial"/>
          <w:color w:val="000000" w:themeColor="text1"/>
        </w:rPr>
        <w:t>commodities</w:t>
      </w:r>
      <w:proofErr w:type="spellEnd"/>
      <w:r w:rsidRPr="00AB1C80">
        <w:rPr>
          <w:rFonts w:cs="Arial"/>
          <w:color w:val="000000" w:themeColor="text1"/>
        </w:rPr>
        <w:t xml:space="preserve"> y algunos metales han provocado una dinámica comercial a nivel global que tiene como consecuencia un marcado interés en la investigación, caracterización y valorización de residuos mineros, tipo estériles, los cuales hoy son una fuente potencial de metales básicos y otro tipo de metales. </w:t>
      </w:r>
    </w:p>
    <w:p w14:paraId="71B44051" w14:textId="77777777" w:rsidR="007D50D5" w:rsidRPr="00AB1C80" w:rsidRDefault="007D50D5" w:rsidP="00AB1C80">
      <w:pPr>
        <w:spacing w:line="276" w:lineRule="auto"/>
        <w:rPr>
          <w:rFonts w:cs="Arial"/>
          <w:color w:val="000000" w:themeColor="text1"/>
        </w:rPr>
      </w:pPr>
    </w:p>
    <w:p w14:paraId="2B145731" w14:textId="4C5010C5" w:rsidR="007D50D5" w:rsidRPr="00AB1C80" w:rsidRDefault="007D50D5" w:rsidP="00AB1C80">
      <w:pPr>
        <w:spacing w:line="276" w:lineRule="auto"/>
        <w:rPr>
          <w:rFonts w:cs="Arial"/>
          <w:color w:val="000000" w:themeColor="text1"/>
        </w:rPr>
      </w:pPr>
      <w:r w:rsidRPr="00AB1C80">
        <w:rPr>
          <w:rFonts w:cs="Arial"/>
          <w:color w:val="000000" w:themeColor="text1"/>
        </w:rPr>
        <w:t>Los términos de referencia existentes conducentes a la elaboración del documento técnico PTO, mencionan los estériles de manera tangencial en el numeral 4.3 Topografía del Área, relacionado con la presentación de las labores exploratorias y mineras existentes respecto a botaderos de estéril; en el numeral 5.4.1, en donde requiere un Estudio Geotécnico con criterios y diseños de los taludes en las excavaciones a cielo abierto, en los botaderos de estéril y en los retrollenados; en el numeral 8.2 Diseño y Planeamiento Minero, solicitando un plano de infraestructura de instalaciones de soporte, botaderos de estéril en superficie para labores a cielo abierto y subterránea, y en el secuenciamiento de avance de los botaderos y retrollenado, balance de materiales, cálculo de los ciclos de acarreo del mineral y el estéril; y finalmente en el numeral 9. Plan de Cierre y Abandono, en la recuperación del área explotada incluyendo el vertedero de estéril mediante alternativas acordes al ordenamiento territorial municipal de tipo urbanístico o industrial, de recreación pasiva o intensiva, agrícola o forestal, conservación de la naturaleza. Particularmente, los términos de referencia para la elaboración del Estudio de Impacto Ambiental (EIA) para proyectos de explotación minera, requieren al titular u operador minero en el Capítulo 3. Descripción del proyecto, la caracterización del yacimiento y roca (útil y estéril), la cuantificación de los volúmenes de sobrantes a remover, las alternativas de disposición final y los criterios de diseño, planos cartografía, ubicación, reservando un numeral (3.6.1) para el Manejo y Disposición de Sobrantes.</w:t>
      </w:r>
    </w:p>
    <w:p w14:paraId="4661BEB4" w14:textId="77777777" w:rsidR="007D50D5" w:rsidRPr="00AB1C80" w:rsidRDefault="007D50D5" w:rsidP="00AB1C80">
      <w:pPr>
        <w:spacing w:line="276" w:lineRule="auto"/>
        <w:rPr>
          <w:rFonts w:cs="Arial"/>
          <w:color w:val="000000" w:themeColor="text1"/>
        </w:rPr>
      </w:pPr>
    </w:p>
    <w:p w14:paraId="0FE65DFB" w14:textId="385BF092" w:rsidR="007D50D5" w:rsidRPr="00AB1C80" w:rsidRDefault="007D50D5" w:rsidP="00AB1C80">
      <w:pPr>
        <w:spacing w:line="276" w:lineRule="auto"/>
        <w:rPr>
          <w:rFonts w:cs="Arial"/>
          <w:color w:val="000000" w:themeColor="text1"/>
        </w:rPr>
      </w:pPr>
      <w:r w:rsidRPr="00AB1C80">
        <w:rPr>
          <w:rFonts w:cs="Arial"/>
          <w:color w:val="000000" w:themeColor="text1"/>
        </w:rPr>
        <w:t xml:space="preserve">En los documentos consultados se evidencia la necesidad de caracterizar de manera integral el material estéril como parte de la generación y apropiación de conocimiento y futuro uso de este tipo de materiales y minerales aprovechables; asimismo aproximar preliminarmente la cuantificación o cálculo del volumen de estos materiales para seleccionar un sitio de disposición, e identificar restricciones técnicas (poco conocimiento del material), ambientales (generación de inestabilidad </w:t>
      </w:r>
      <w:r w:rsidRPr="00AB1C80">
        <w:rPr>
          <w:rFonts w:cs="Arial"/>
          <w:color w:val="000000" w:themeColor="text1"/>
        </w:rPr>
        <w:lastRenderedPageBreak/>
        <w:t>física o química de las escombreras), legales (vacíos), económicas (viabilidad y capacidad) y sociales (rechazo).</w:t>
      </w:r>
    </w:p>
    <w:p w14:paraId="13B01517" w14:textId="77777777" w:rsidR="007D50D5" w:rsidRPr="00AB1C80" w:rsidRDefault="007D50D5" w:rsidP="00AB1C80">
      <w:pPr>
        <w:spacing w:line="276" w:lineRule="auto"/>
        <w:rPr>
          <w:rFonts w:cs="Arial"/>
          <w:color w:val="000000" w:themeColor="text1"/>
        </w:rPr>
      </w:pPr>
    </w:p>
    <w:p w14:paraId="6525E1F4" w14:textId="4B15D5F5" w:rsidR="007D50D5" w:rsidRPr="00AB1C80" w:rsidRDefault="007D50D5" w:rsidP="00AB1C80">
      <w:pPr>
        <w:spacing w:line="276" w:lineRule="auto"/>
        <w:rPr>
          <w:rFonts w:cs="Arial"/>
          <w:color w:val="000000" w:themeColor="text1"/>
        </w:rPr>
      </w:pPr>
      <w:r w:rsidRPr="00AB1C80">
        <w:rPr>
          <w:rFonts w:cs="Arial"/>
          <w:color w:val="000000" w:themeColor="text1"/>
        </w:rPr>
        <w:t>Dentro de las experiencias recogidas en las reuniones virtuales con empresas mineras, el retorno del material al lugar de donde fue extraído o retrollenado es evidentemente el mejor método de gestión y manejo de residuos o estériles, pues minimiza diversos impactos ambientales, sociales y facilita la recuperación del área. La construcción de escombreras como método de disposición genera impactos al paisaje, y es dependiente de la estabilidad física, química y geomecánica de la instalación o depósito de estériles. El aprovechamiento que resulta más eficiente se relaciona con el uso interno de los materiales estériles en obras civiles, vías e infraestructura dentro de la operación minera. Asimismo, existen casos en donde se realiza donaciones de materiales estériles para obras viales a nivel regional.</w:t>
      </w:r>
    </w:p>
    <w:p w14:paraId="795A3C3B" w14:textId="77777777" w:rsidR="007D50D5" w:rsidRPr="00AB1C80" w:rsidRDefault="007D50D5" w:rsidP="00AB1C80">
      <w:pPr>
        <w:spacing w:line="276" w:lineRule="auto"/>
        <w:rPr>
          <w:rFonts w:cs="Arial"/>
          <w:color w:val="000000" w:themeColor="text1"/>
        </w:rPr>
      </w:pPr>
    </w:p>
    <w:p w14:paraId="15C5A789" w14:textId="56D98749" w:rsidR="007D50D5" w:rsidRPr="00AB1C80" w:rsidRDefault="007D50D5" w:rsidP="00AB1C80">
      <w:pPr>
        <w:spacing w:line="276" w:lineRule="auto"/>
        <w:rPr>
          <w:rFonts w:cs="Arial"/>
          <w:color w:val="000000" w:themeColor="text1"/>
        </w:rPr>
      </w:pPr>
      <w:r w:rsidRPr="00AB1C80">
        <w:rPr>
          <w:rFonts w:cs="Arial"/>
          <w:color w:val="000000" w:themeColor="text1"/>
        </w:rPr>
        <w:t>Existen impedimentos o restricciones que limitan el uso y aprovechamiento de estériles, las cuales se deben tener en cuenta a la hora de evaluar la gestión y manejo de estos materiales; en el contexto interno y componente técnico, existe por lo general un desconocimiento de la composición, propiedades y características físico, químicas y geomecánicas del material estéril; la infraestructura interna está implementada para la explotación, beneficio y transformación del material útil sin tener en cuenta otro tipo de materiales; en la disposición no se tienen en cuenta evaluaciones o líneas base para seleccionar un sitio adecuado de disposición; y no se emplean desde etapas tempranas de construcción de la escombrera, diseños, análisis y métodos de estabilidad geotécnica, si no que esta se realiza en las etapas de cierre y post cierre de la instalación y del proyecto minero; asimismo, la infraestructura vial externa o aledaña al proyecto muchas veces no cumple con especificaciones para aportarle elementos adicionales de presión en el flujo vehicular de carga.</w:t>
      </w:r>
    </w:p>
    <w:p w14:paraId="5AB8EF3C" w14:textId="77777777" w:rsidR="007D50D5" w:rsidRPr="00AB1C80" w:rsidRDefault="007D50D5" w:rsidP="00AB1C80">
      <w:pPr>
        <w:spacing w:line="276" w:lineRule="auto"/>
        <w:rPr>
          <w:rFonts w:cs="Arial"/>
          <w:color w:val="000000" w:themeColor="text1"/>
        </w:rPr>
      </w:pPr>
    </w:p>
    <w:p w14:paraId="03BEC10B" w14:textId="7C3CA715" w:rsidR="007D50D5" w:rsidRPr="00AB1C80" w:rsidRDefault="007D50D5" w:rsidP="00AB1C80">
      <w:pPr>
        <w:spacing w:line="276" w:lineRule="auto"/>
        <w:rPr>
          <w:rFonts w:cs="Arial"/>
          <w:color w:val="000000" w:themeColor="text1"/>
        </w:rPr>
      </w:pPr>
      <w:r w:rsidRPr="00AB1C80">
        <w:rPr>
          <w:rFonts w:cs="Arial"/>
          <w:color w:val="000000" w:themeColor="text1"/>
        </w:rPr>
        <w:t>En cuanto al contexto interno, componente legal, el aprovechamiento de material estéril algunas veces implica modificaciones en los documentos técnicos PTO, o instrumentos ambientales Licencia Ambiental y/o PMA, y en el mismo RUCOM y en el contrato de concesión firmado con la autoridad minera en donde se debe adicionar los minerales nuevos que se van a comercializar; estos trámites o cambios de carácter administrativo implican un considerable tiempo, costos y generación de expectativas e incertidumbre sobre el futuro nuevo negocio en ciernes.</w:t>
      </w:r>
    </w:p>
    <w:p w14:paraId="48007A38" w14:textId="77777777" w:rsidR="007D50D5" w:rsidRPr="00AB1C80" w:rsidRDefault="007D50D5" w:rsidP="00AB1C80">
      <w:pPr>
        <w:spacing w:line="276" w:lineRule="auto"/>
        <w:rPr>
          <w:rFonts w:cs="Arial"/>
          <w:color w:val="000000" w:themeColor="text1"/>
        </w:rPr>
      </w:pPr>
    </w:p>
    <w:p w14:paraId="59331EDC" w14:textId="4224851C" w:rsidR="00EC1D7A" w:rsidRPr="00AB1C80" w:rsidRDefault="007D50D5" w:rsidP="00AB1C80">
      <w:pPr>
        <w:spacing w:line="276" w:lineRule="auto"/>
        <w:rPr>
          <w:rFonts w:cs="Arial"/>
          <w:color w:val="000000" w:themeColor="text1"/>
        </w:rPr>
      </w:pPr>
      <w:r w:rsidRPr="00AB1C80">
        <w:rPr>
          <w:rFonts w:cs="Arial"/>
          <w:color w:val="000000" w:themeColor="text1"/>
        </w:rPr>
        <w:t xml:space="preserve">En el componente económico, cualquier operación minera en todo nivel, tamaño, volumen y escala de explotación debe requerir esfuerzos proporcionales desde un </w:t>
      </w:r>
      <w:r w:rsidRPr="00AB1C80">
        <w:rPr>
          <w:rFonts w:cs="Arial"/>
          <w:color w:val="000000" w:themeColor="text1"/>
        </w:rPr>
        <w:lastRenderedPageBreak/>
        <w:t>enfoque costo-beneficio para evaluar y asegurar la viabilidad económica para el aprovechamiento de los materiales estériles que se extraen de sus operaciones; asimismo otro elemento indispensable en este componente es la capacidad económica que posea el titular u operador minero, dado que este aprovechamiento conlleva inversiones en maquinaria y equipos para el beneficio y transformación, transporte, etc., del material estéril.</w:t>
      </w:r>
    </w:p>
    <w:p w14:paraId="65B64A3C" w14:textId="77777777" w:rsidR="003D49CF" w:rsidRPr="00AB1C80" w:rsidRDefault="003D49CF" w:rsidP="00AB1C80">
      <w:pPr>
        <w:spacing w:line="276" w:lineRule="auto"/>
        <w:rPr>
          <w:rFonts w:cs="Arial"/>
          <w:color w:val="000000" w:themeColor="text1"/>
        </w:rPr>
      </w:pPr>
    </w:p>
    <w:p w14:paraId="2A019FD1" w14:textId="3CAB19BB" w:rsidR="009E6DC1" w:rsidRPr="00AB1C80" w:rsidRDefault="009E6DC1" w:rsidP="00AB1C80">
      <w:pPr>
        <w:spacing w:line="276" w:lineRule="auto"/>
        <w:rPr>
          <w:rFonts w:cs="Arial"/>
          <w:b/>
          <w:bCs/>
          <w:color w:val="000000" w:themeColor="text1"/>
        </w:rPr>
      </w:pPr>
      <w:r w:rsidRPr="00AB1C80">
        <w:rPr>
          <w:rFonts w:cs="Arial"/>
          <w:b/>
          <w:bCs/>
          <w:color w:val="000000" w:themeColor="text1"/>
        </w:rPr>
        <w:t>Economía Circular</w:t>
      </w:r>
    </w:p>
    <w:p w14:paraId="2056CAB4" w14:textId="77777777" w:rsidR="009E6DC1" w:rsidRPr="00AB1C80" w:rsidRDefault="009E6DC1" w:rsidP="00AB1C80">
      <w:pPr>
        <w:spacing w:line="276" w:lineRule="auto"/>
        <w:rPr>
          <w:rFonts w:cs="Arial"/>
          <w:color w:val="000000" w:themeColor="text1"/>
        </w:rPr>
      </w:pPr>
    </w:p>
    <w:p w14:paraId="0029672C" w14:textId="67524B0B" w:rsidR="009E6DC1" w:rsidRPr="00AB1C80" w:rsidRDefault="009E6DC1" w:rsidP="00AB1C80">
      <w:pPr>
        <w:spacing w:line="276" w:lineRule="auto"/>
        <w:rPr>
          <w:rFonts w:cs="Arial"/>
          <w:color w:val="000000" w:themeColor="text1"/>
        </w:rPr>
      </w:pPr>
      <w:r w:rsidRPr="00AB1C80">
        <w:rPr>
          <w:rFonts w:cs="Arial"/>
          <w:color w:val="000000" w:themeColor="text1"/>
        </w:rPr>
        <w:t>Cambiar de un modelo de economía lineal por uno de economía circular requiere de un trabajo conjunto de consumidores, empresas, gobierno y academia donde cada uno juega un rol fundamental en busca de la eficiencia en el uso de materiales o productos, partiendo de la prevención en la utilización de éstos, reduciendo la generación de residuos, alargando la vida útil de materiales o productos mediante procesos de reutilización y transformando o reincorporando materiales a ciclos productivos</w:t>
      </w:r>
      <w:r w:rsidR="002553DB" w:rsidRPr="00AB1C80">
        <w:rPr>
          <w:rFonts w:cs="Arial"/>
          <w:color w:val="000000" w:themeColor="text1"/>
        </w:rPr>
        <w:t xml:space="preserve"> mediante procesos de reciclaje.</w:t>
      </w:r>
    </w:p>
    <w:p w14:paraId="06323576" w14:textId="77777777" w:rsidR="009E6DC1" w:rsidRPr="00AB1C80" w:rsidRDefault="009E6DC1" w:rsidP="00AB1C80">
      <w:pPr>
        <w:spacing w:line="276" w:lineRule="auto"/>
        <w:rPr>
          <w:rFonts w:cs="Arial"/>
          <w:color w:val="000000" w:themeColor="text1"/>
        </w:rPr>
      </w:pPr>
    </w:p>
    <w:p w14:paraId="0EC6AA68" w14:textId="7E854303" w:rsidR="009E6DC1" w:rsidRPr="00AB1C80" w:rsidRDefault="002553DB" w:rsidP="00AB1C80">
      <w:pPr>
        <w:spacing w:line="276" w:lineRule="auto"/>
        <w:rPr>
          <w:rFonts w:cs="Arial"/>
          <w:color w:val="000000" w:themeColor="text1"/>
        </w:rPr>
      </w:pPr>
      <w:r w:rsidRPr="00AB1C80">
        <w:rPr>
          <w:rFonts w:cs="Arial"/>
          <w:color w:val="000000" w:themeColor="text1"/>
        </w:rPr>
        <w:t>La transformación de la economía lineal hacia una economía circular implica un proceso de cambio y ajuste del paradigma productivo y de consumo de empresas e individuos</w:t>
      </w:r>
      <w:r w:rsidR="0000228A" w:rsidRPr="00AB1C80">
        <w:rPr>
          <w:rFonts w:cs="Arial"/>
          <w:color w:val="000000" w:themeColor="text1"/>
        </w:rPr>
        <w:t xml:space="preserve">, lo cual se refleja en procesos productivos sostenibles que disminuyen la </w:t>
      </w:r>
      <w:r w:rsidR="009E6DC1" w:rsidRPr="00AB1C80">
        <w:rPr>
          <w:rFonts w:cs="Arial"/>
          <w:color w:val="000000" w:themeColor="text1"/>
        </w:rPr>
        <w:t>genera</w:t>
      </w:r>
      <w:r w:rsidR="0000228A" w:rsidRPr="00AB1C80">
        <w:rPr>
          <w:rFonts w:cs="Arial"/>
          <w:color w:val="000000" w:themeColor="text1"/>
        </w:rPr>
        <w:t>ción de</w:t>
      </w:r>
      <w:r w:rsidR="009E6DC1" w:rsidRPr="00AB1C80">
        <w:rPr>
          <w:rFonts w:cs="Arial"/>
          <w:color w:val="000000" w:themeColor="text1"/>
        </w:rPr>
        <w:t xml:space="preserve"> impactos negativos al medio ambiente</w:t>
      </w:r>
      <w:r w:rsidR="0000228A" w:rsidRPr="00AB1C80">
        <w:rPr>
          <w:rFonts w:cs="Arial"/>
          <w:color w:val="000000" w:themeColor="text1"/>
        </w:rPr>
        <w:t>.</w:t>
      </w:r>
    </w:p>
    <w:p w14:paraId="6F67237D" w14:textId="77777777" w:rsidR="009E6DC1" w:rsidRPr="00AB1C80" w:rsidRDefault="009E6DC1" w:rsidP="00AB1C80">
      <w:pPr>
        <w:spacing w:line="276" w:lineRule="auto"/>
        <w:rPr>
          <w:rFonts w:cs="Arial"/>
          <w:color w:val="000000" w:themeColor="text1"/>
        </w:rPr>
      </w:pPr>
    </w:p>
    <w:p w14:paraId="2D7F9007" w14:textId="24B90957" w:rsidR="00D7585C" w:rsidRPr="00AB1C80" w:rsidRDefault="0000228A" w:rsidP="00AB1C80">
      <w:pPr>
        <w:spacing w:line="276" w:lineRule="auto"/>
        <w:rPr>
          <w:rFonts w:cs="Arial"/>
          <w:color w:val="000000" w:themeColor="text1"/>
        </w:rPr>
      </w:pPr>
      <w:r w:rsidRPr="00AB1C80">
        <w:rPr>
          <w:rFonts w:cs="Arial"/>
          <w:color w:val="000000" w:themeColor="text1"/>
        </w:rPr>
        <w:t xml:space="preserve">La implementación de modelos de consumo sostenible y producción más limpia a nivel de empresas, unidades productivas </w:t>
      </w:r>
      <w:r w:rsidR="00D7585C" w:rsidRPr="00AB1C80">
        <w:rPr>
          <w:rFonts w:cs="Arial"/>
          <w:color w:val="000000" w:themeColor="text1"/>
        </w:rPr>
        <w:t>y consumidores en general</w:t>
      </w:r>
      <w:r w:rsidRPr="00AB1C80">
        <w:rPr>
          <w:rFonts w:cs="Arial"/>
          <w:color w:val="000000" w:themeColor="text1"/>
        </w:rPr>
        <w:t xml:space="preserve"> no se relacionan exclusivamente con el control de los impactos ambientales y la posible contaminación </w:t>
      </w:r>
      <w:r w:rsidR="00D7585C" w:rsidRPr="00AB1C80">
        <w:rPr>
          <w:rFonts w:cs="Arial"/>
          <w:color w:val="000000" w:themeColor="text1"/>
        </w:rPr>
        <w:t xml:space="preserve">asociada al desarrollo de los procesos productivos, </w:t>
      </w:r>
      <w:r w:rsidRPr="00AB1C80">
        <w:rPr>
          <w:rFonts w:cs="Arial"/>
          <w:color w:val="000000" w:themeColor="text1"/>
        </w:rPr>
        <w:t>sino por el contrario, se relaciona con la prevención de dichos impactos</w:t>
      </w:r>
      <w:r w:rsidR="00D7585C" w:rsidRPr="00AB1C80">
        <w:rPr>
          <w:rFonts w:cs="Arial"/>
          <w:color w:val="000000" w:themeColor="text1"/>
        </w:rPr>
        <w:t xml:space="preserve"> y el incremento de los efectos positivos que los procesos productivos puedan generar en el medio ambiente.</w:t>
      </w:r>
    </w:p>
    <w:p w14:paraId="522968C9" w14:textId="77777777" w:rsidR="00D7585C" w:rsidRPr="00AB1C80" w:rsidRDefault="00D7585C" w:rsidP="00AB1C80">
      <w:pPr>
        <w:spacing w:line="276" w:lineRule="auto"/>
        <w:rPr>
          <w:rFonts w:cs="Arial"/>
          <w:color w:val="000000" w:themeColor="text1"/>
        </w:rPr>
      </w:pPr>
    </w:p>
    <w:p w14:paraId="0A52640E" w14:textId="3C435DB3" w:rsidR="005F5710" w:rsidRPr="00AB1C80" w:rsidRDefault="00D7585C" w:rsidP="00AB1C80">
      <w:pPr>
        <w:spacing w:line="276" w:lineRule="auto"/>
        <w:rPr>
          <w:rFonts w:cs="Arial"/>
          <w:color w:val="000000" w:themeColor="text1"/>
        </w:rPr>
      </w:pPr>
      <w:r w:rsidRPr="00AB1C80">
        <w:rPr>
          <w:rFonts w:cs="Arial"/>
          <w:color w:val="000000" w:themeColor="text1"/>
        </w:rPr>
        <w:t xml:space="preserve">La implementación del modelo de </w:t>
      </w:r>
      <w:r w:rsidR="0000228A" w:rsidRPr="00AB1C80">
        <w:rPr>
          <w:rFonts w:cs="Arial"/>
          <w:color w:val="000000" w:themeColor="text1"/>
        </w:rPr>
        <w:t>economía</w:t>
      </w:r>
      <w:r w:rsidRPr="00AB1C80">
        <w:rPr>
          <w:rFonts w:cs="Arial"/>
          <w:color w:val="000000" w:themeColor="text1"/>
        </w:rPr>
        <w:t xml:space="preserve"> </w:t>
      </w:r>
      <w:r w:rsidR="0000228A" w:rsidRPr="00AB1C80">
        <w:rPr>
          <w:rFonts w:cs="Arial"/>
          <w:color w:val="000000" w:themeColor="text1"/>
        </w:rPr>
        <w:t xml:space="preserve">circular </w:t>
      </w:r>
      <w:r w:rsidRPr="00AB1C80">
        <w:rPr>
          <w:rFonts w:cs="Arial"/>
          <w:color w:val="000000" w:themeColor="text1"/>
        </w:rPr>
        <w:t xml:space="preserve">en la </w:t>
      </w:r>
      <w:r w:rsidR="0000228A" w:rsidRPr="00AB1C80">
        <w:rPr>
          <w:rFonts w:cs="Arial"/>
          <w:color w:val="000000" w:themeColor="text1"/>
        </w:rPr>
        <w:t xml:space="preserve">actividad </w:t>
      </w:r>
      <w:r w:rsidR="00A84705" w:rsidRPr="00AB1C80">
        <w:rPr>
          <w:rFonts w:cs="Arial"/>
          <w:color w:val="000000" w:themeColor="text1"/>
        </w:rPr>
        <w:t>minera</w:t>
      </w:r>
      <w:r w:rsidRPr="00AB1C80">
        <w:rPr>
          <w:rFonts w:cs="Arial"/>
          <w:color w:val="000000" w:themeColor="text1"/>
        </w:rPr>
        <w:t xml:space="preserve"> debe ser considerada desde las primeras etapas del proyecto, para garantizar una explotación eficiente de los recursos desde la exploración y mediante la mecanización, automatización, y optimización de la operación minera. Se debe </w:t>
      </w:r>
      <w:r w:rsidR="005F5710" w:rsidRPr="00AB1C80">
        <w:rPr>
          <w:rFonts w:cs="Arial"/>
          <w:color w:val="000000" w:themeColor="text1"/>
        </w:rPr>
        <w:t>r</w:t>
      </w:r>
      <w:r w:rsidRPr="00AB1C80">
        <w:rPr>
          <w:rFonts w:cs="Arial"/>
          <w:color w:val="000000" w:themeColor="text1"/>
        </w:rPr>
        <w:t>educir la tasa de pérdida de mineral y mejorar la tasa de recuperación de procesamiento de minerales, para el uso total de los recursos, incluyendo aquellos que requieran tecnología específica por su grado de complejidad para su extracción.</w:t>
      </w:r>
      <w:r w:rsidR="005F5710" w:rsidRPr="00AB1C80">
        <w:rPr>
          <w:rFonts w:cs="Arial"/>
          <w:color w:val="000000" w:themeColor="text1"/>
        </w:rPr>
        <w:t xml:space="preserve"> </w:t>
      </w:r>
    </w:p>
    <w:p w14:paraId="2DFE3296" w14:textId="77777777" w:rsidR="005F5710" w:rsidRPr="00AB1C80" w:rsidRDefault="005F5710" w:rsidP="00AB1C80">
      <w:pPr>
        <w:spacing w:line="276" w:lineRule="auto"/>
        <w:rPr>
          <w:rFonts w:cs="Arial"/>
          <w:color w:val="000000" w:themeColor="text1"/>
        </w:rPr>
      </w:pPr>
    </w:p>
    <w:p w14:paraId="19B6AC47" w14:textId="4A876483" w:rsidR="005F5710" w:rsidRPr="00AB1C80" w:rsidRDefault="005F5710" w:rsidP="00AB1C80">
      <w:pPr>
        <w:spacing w:line="276" w:lineRule="auto"/>
        <w:rPr>
          <w:rFonts w:cs="Arial"/>
          <w:color w:val="000000" w:themeColor="text1"/>
        </w:rPr>
      </w:pPr>
      <w:r w:rsidRPr="00AB1C80">
        <w:rPr>
          <w:rFonts w:cs="Arial"/>
          <w:color w:val="000000" w:themeColor="text1"/>
        </w:rPr>
        <w:lastRenderedPageBreak/>
        <w:t>Se deben desarrollar tecnologías de aprovechamiento que permitan obtener los minerales que son difíciles de recuperar de manera convencional, y que se encuentran</w:t>
      </w:r>
      <w:r w:rsidR="0027347B" w:rsidRPr="00AB1C80">
        <w:rPr>
          <w:rFonts w:cs="Arial"/>
          <w:color w:val="000000" w:themeColor="text1"/>
        </w:rPr>
        <w:t xml:space="preserve"> en </w:t>
      </w:r>
      <w:r w:rsidRPr="00AB1C80">
        <w:rPr>
          <w:rFonts w:cs="Arial"/>
          <w:color w:val="000000" w:themeColor="text1"/>
        </w:rPr>
        <w:t>colas de beneficio</w:t>
      </w:r>
      <w:r w:rsidR="0027347B" w:rsidRPr="00AB1C80">
        <w:rPr>
          <w:rFonts w:cs="Arial"/>
          <w:color w:val="000000" w:themeColor="text1"/>
        </w:rPr>
        <w:t xml:space="preserve">, </w:t>
      </w:r>
      <w:r w:rsidRPr="00AB1C80">
        <w:rPr>
          <w:rFonts w:cs="Arial"/>
          <w:color w:val="000000" w:themeColor="text1"/>
        </w:rPr>
        <w:t>en los estériles</w:t>
      </w:r>
      <w:r w:rsidR="0027347B" w:rsidRPr="00AB1C80">
        <w:rPr>
          <w:rFonts w:cs="Arial"/>
          <w:color w:val="000000" w:themeColor="text1"/>
        </w:rPr>
        <w:t xml:space="preserve">, en minerales </w:t>
      </w:r>
      <w:r w:rsidR="00A84705" w:rsidRPr="00AB1C80">
        <w:rPr>
          <w:rFonts w:cs="Arial"/>
          <w:color w:val="000000" w:themeColor="text1"/>
        </w:rPr>
        <w:t>y relaves</w:t>
      </w:r>
      <w:r w:rsidR="0027347B" w:rsidRPr="00AB1C80">
        <w:rPr>
          <w:rFonts w:cs="Arial"/>
          <w:color w:val="000000" w:themeColor="text1"/>
        </w:rPr>
        <w:t xml:space="preserve"> de baja ley entre otros, </w:t>
      </w:r>
      <w:r w:rsidRPr="00AB1C80">
        <w:rPr>
          <w:rFonts w:cs="Arial"/>
          <w:color w:val="000000" w:themeColor="text1"/>
        </w:rPr>
        <w:t xml:space="preserve">para lograr la recuperación de los componentes útiles de éstos. </w:t>
      </w:r>
    </w:p>
    <w:p w14:paraId="3CFD7C44" w14:textId="77777777" w:rsidR="00D7585C" w:rsidRPr="00AB1C80" w:rsidRDefault="00D7585C" w:rsidP="00AB1C80">
      <w:pPr>
        <w:spacing w:line="276" w:lineRule="auto"/>
        <w:rPr>
          <w:rFonts w:cs="Arial"/>
          <w:color w:val="000000" w:themeColor="text1"/>
        </w:rPr>
      </w:pPr>
    </w:p>
    <w:p w14:paraId="1C069CB6" w14:textId="5CFD0441" w:rsidR="00A55051" w:rsidRPr="00AB1C80" w:rsidRDefault="00380BB6" w:rsidP="00AB1C80">
      <w:pPr>
        <w:spacing w:line="276" w:lineRule="auto"/>
        <w:rPr>
          <w:rFonts w:cs="Arial"/>
          <w:color w:val="000000" w:themeColor="text1"/>
          <w:szCs w:val="24"/>
        </w:rPr>
      </w:pPr>
      <w:r w:rsidRPr="00AB1C80">
        <w:rPr>
          <w:rFonts w:cs="Arial"/>
          <w:color w:val="000000" w:themeColor="text1"/>
          <w:szCs w:val="24"/>
        </w:rPr>
        <w:t>Para l</w:t>
      </w:r>
      <w:r w:rsidR="008D3721" w:rsidRPr="00AB1C80">
        <w:rPr>
          <w:rFonts w:cs="Arial"/>
          <w:color w:val="000000" w:themeColor="text1"/>
          <w:szCs w:val="24"/>
        </w:rPr>
        <w:t xml:space="preserve">a implementación de un modelo de </w:t>
      </w:r>
      <w:r w:rsidR="007420D3" w:rsidRPr="00AB1C80">
        <w:rPr>
          <w:rFonts w:cs="Arial"/>
          <w:color w:val="000000" w:themeColor="text1"/>
          <w:szCs w:val="24"/>
        </w:rPr>
        <w:t>e</w:t>
      </w:r>
      <w:r w:rsidR="008D3721" w:rsidRPr="00AB1C80">
        <w:rPr>
          <w:rFonts w:cs="Arial"/>
          <w:color w:val="000000" w:themeColor="text1"/>
          <w:szCs w:val="24"/>
        </w:rPr>
        <w:t xml:space="preserve">conomía </w:t>
      </w:r>
      <w:r w:rsidR="007420D3" w:rsidRPr="00AB1C80">
        <w:rPr>
          <w:rFonts w:cs="Arial"/>
          <w:color w:val="000000" w:themeColor="text1"/>
          <w:szCs w:val="24"/>
        </w:rPr>
        <w:t>c</w:t>
      </w:r>
      <w:r w:rsidR="008D3721" w:rsidRPr="00AB1C80">
        <w:rPr>
          <w:rFonts w:cs="Arial"/>
          <w:color w:val="000000" w:themeColor="text1"/>
          <w:szCs w:val="24"/>
        </w:rPr>
        <w:t>ircular en el sector minero,</w:t>
      </w:r>
      <w:r w:rsidRPr="00AB1C80">
        <w:rPr>
          <w:rFonts w:cs="Arial"/>
          <w:color w:val="000000" w:themeColor="text1"/>
        </w:rPr>
        <w:t xml:space="preserve"> se presentan limitaciones </w:t>
      </w:r>
      <w:r w:rsidR="009C62AB" w:rsidRPr="00AB1C80">
        <w:rPr>
          <w:rFonts w:cs="Arial"/>
          <w:color w:val="000000" w:themeColor="text1"/>
        </w:rPr>
        <w:t xml:space="preserve">principalmente </w:t>
      </w:r>
      <w:r w:rsidRPr="00AB1C80">
        <w:rPr>
          <w:rFonts w:cs="Arial"/>
          <w:color w:val="000000" w:themeColor="text1"/>
        </w:rPr>
        <w:t>de tipo regulatorio ya que existen</w:t>
      </w:r>
      <w:r w:rsidR="009C62AB" w:rsidRPr="00AB1C80">
        <w:rPr>
          <w:rFonts w:cs="Arial"/>
          <w:color w:val="000000" w:themeColor="text1"/>
        </w:rPr>
        <w:t xml:space="preserve"> </w:t>
      </w:r>
      <w:r w:rsidRPr="00AB1C80">
        <w:rPr>
          <w:rFonts w:cs="Arial"/>
          <w:color w:val="000000" w:themeColor="text1"/>
        </w:rPr>
        <w:t xml:space="preserve">desarticulaciones de </w:t>
      </w:r>
      <w:r w:rsidR="009C62AB" w:rsidRPr="00AB1C80">
        <w:rPr>
          <w:rFonts w:cs="Arial"/>
          <w:color w:val="000000" w:themeColor="text1"/>
        </w:rPr>
        <w:t xml:space="preserve">la </w:t>
      </w:r>
      <w:r w:rsidRPr="00AB1C80">
        <w:rPr>
          <w:rFonts w:cs="Arial"/>
          <w:color w:val="000000" w:themeColor="text1"/>
        </w:rPr>
        <w:t>normatividad miner</w:t>
      </w:r>
      <w:r w:rsidR="009C62AB" w:rsidRPr="00AB1C80">
        <w:rPr>
          <w:rFonts w:cs="Arial"/>
          <w:color w:val="000000" w:themeColor="text1"/>
        </w:rPr>
        <w:t>a y</w:t>
      </w:r>
      <w:r w:rsidRPr="00AB1C80">
        <w:rPr>
          <w:rFonts w:cs="Arial"/>
          <w:color w:val="000000" w:themeColor="text1"/>
        </w:rPr>
        <w:t xml:space="preserve"> ambiental </w:t>
      </w:r>
      <w:r w:rsidR="009C62AB" w:rsidRPr="00AB1C80">
        <w:rPr>
          <w:rFonts w:cs="Arial"/>
          <w:color w:val="000000" w:themeColor="text1"/>
        </w:rPr>
        <w:t>que en muchos casos</w:t>
      </w:r>
      <w:r w:rsidRPr="00AB1C80">
        <w:rPr>
          <w:rFonts w:cs="Arial"/>
          <w:color w:val="000000" w:themeColor="text1"/>
        </w:rPr>
        <w:t xml:space="preserve"> no </w:t>
      </w:r>
      <w:r w:rsidR="00A84705" w:rsidRPr="00AB1C80">
        <w:rPr>
          <w:rFonts w:cs="Arial"/>
          <w:color w:val="000000" w:themeColor="text1"/>
        </w:rPr>
        <w:t>está</w:t>
      </w:r>
      <w:r w:rsidRPr="00AB1C80">
        <w:rPr>
          <w:rFonts w:cs="Arial"/>
          <w:color w:val="000000" w:themeColor="text1"/>
        </w:rPr>
        <w:t xml:space="preserve"> alineada con </w:t>
      </w:r>
      <w:r w:rsidR="009C62AB" w:rsidRPr="00AB1C80">
        <w:rPr>
          <w:rFonts w:cs="Arial"/>
          <w:color w:val="000000" w:themeColor="text1"/>
        </w:rPr>
        <w:t>modelos de economía de tipo c</w:t>
      </w:r>
      <w:r w:rsidRPr="00AB1C80">
        <w:rPr>
          <w:rFonts w:cs="Arial"/>
          <w:color w:val="000000" w:themeColor="text1"/>
        </w:rPr>
        <w:t xml:space="preserve">ircular. </w:t>
      </w:r>
      <w:r w:rsidR="00A55051" w:rsidRPr="00AB1C80">
        <w:rPr>
          <w:rFonts w:cs="Arial"/>
          <w:color w:val="000000" w:themeColor="text1"/>
        </w:rPr>
        <w:t xml:space="preserve">En ese sentido, el rol del Estado </w:t>
      </w:r>
      <w:r w:rsidR="000C105F" w:rsidRPr="00AB1C80">
        <w:rPr>
          <w:rFonts w:cs="Arial"/>
          <w:color w:val="000000" w:themeColor="text1"/>
        </w:rPr>
        <w:t>s</w:t>
      </w:r>
      <w:r w:rsidR="00A55051" w:rsidRPr="00AB1C80">
        <w:rPr>
          <w:rFonts w:cs="Arial"/>
          <w:color w:val="000000" w:themeColor="text1"/>
        </w:rPr>
        <w:t xml:space="preserve">e relaciona con su función en el diseño de incentivos, normatividad y sistemas de información. En muchos casos, se requieren colaboraciones y trabajos conjuntos entre varias entidades del </w:t>
      </w:r>
      <w:r w:rsidR="002B4A34" w:rsidRPr="00AB1C80">
        <w:rPr>
          <w:rFonts w:cs="Arial"/>
          <w:color w:val="000000" w:themeColor="text1"/>
        </w:rPr>
        <w:t>E</w:t>
      </w:r>
      <w:r w:rsidR="00A55051" w:rsidRPr="00AB1C80">
        <w:rPr>
          <w:rFonts w:cs="Arial"/>
          <w:color w:val="000000" w:themeColor="text1"/>
        </w:rPr>
        <w:t>stado para crear incentivos y regulación que se complementen entre sí.</w:t>
      </w:r>
    </w:p>
    <w:p w14:paraId="67148343" w14:textId="18FC86DF" w:rsidR="00627BAF" w:rsidRPr="00AB1C80" w:rsidRDefault="00627BAF" w:rsidP="00AB1C80">
      <w:pPr>
        <w:spacing w:line="276" w:lineRule="auto"/>
        <w:rPr>
          <w:rFonts w:cs="Arial"/>
          <w:color w:val="000000" w:themeColor="text1"/>
        </w:rPr>
      </w:pPr>
    </w:p>
    <w:p w14:paraId="5B3CC0EF" w14:textId="77725B2B" w:rsidR="00627BAF" w:rsidRPr="00AB1C80" w:rsidRDefault="00627BAF" w:rsidP="00AB1C80">
      <w:pPr>
        <w:spacing w:line="276" w:lineRule="auto"/>
        <w:rPr>
          <w:rFonts w:cs="Arial"/>
          <w:color w:val="000000" w:themeColor="text1"/>
        </w:rPr>
      </w:pPr>
      <w:r w:rsidRPr="00AB1C80">
        <w:rPr>
          <w:rFonts w:cs="Arial"/>
          <w:color w:val="000000" w:themeColor="text1"/>
        </w:rPr>
        <w:t>E</w:t>
      </w:r>
      <w:r w:rsidR="00A212B5" w:rsidRPr="00AB1C80">
        <w:rPr>
          <w:rFonts w:cs="Arial"/>
          <w:color w:val="000000" w:themeColor="text1"/>
        </w:rPr>
        <w:t xml:space="preserve">s primordial </w:t>
      </w:r>
      <w:r w:rsidR="00A84705" w:rsidRPr="00AB1C80">
        <w:rPr>
          <w:rFonts w:cs="Arial"/>
          <w:color w:val="000000" w:themeColor="text1"/>
        </w:rPr>
        <w:t>que,</w:t>
      </w:r>
      <w:r w:rsidR="00A212B5" w:rsidRPr="00AB1C80">
        <w:rPr>
          <w:rFonts w:cs="Arial"/>
          <w:color w:val="000000" w:themeColor="text1"/>
        </w:rPr>
        <w:t xml:space="preserve"> para e</w:t>
      </w:r>
      <w:r w:rsidRPr="00AB1C80">
        <w:rPr>
          <w:rFonts w:cs="Arial"/>
          <w:color w:val="000000" w:themeColor="text1"/>
        </w:rPr>
        <w:t>l desarrollo de modelos circulares</w:t>
      </w:r>
      <w:r w:rsidR="00A212B5" w:rsidRPr="00AB1C80">
        <w:rPr>
          <w:rFonts w:cs="Arial"/>
          <w:color w:val="000000" w:themeColor="text1"/>
        </w:rPr>
        <w:t xml:space="preserve"> en el sector minero, se realice </w:t>
      </w:r>
      <w:r w:rsidRPr="00AB1C80">
        <w:rPr>
          <w:rFonts w:cs="Arial"/>
          <w:color w:val="000000" w:themeColor="text1"/>
        </w:rPr>
        <w:t>una caracterización</w:t>
      </w:r>
      <w:r w:rsidR="00A212B5" w:rsidRPr="00AB1C80">
        <w:rPr>
          <w:rFonts w:cs="Arial"/>
          <w:color w:val="000000" w:themeColor="text1"/>
        </w:rPr>
        <w:t xml:space="preserve"> detallada </w:t>
      </w:r>
      <w:r w:rsidRPr="00AB1C80">
        <w:rPr>
          <w:rFonts w:cs="Arial"/>
          <w:color w:val="000000" w:themeColor="text1"/>
        </w:rPr>
        <w:t>de</w:t>
      </w:r>
      <w:r w:rsidR="00A212B5" w:rsidRPr="00AB1C80">
        <w:rPr>
          <w:rFonts w:cs="Arial"/>
          <w:color w:val="000000" w:themeColor="text1"/>
        </w:rPr>
        <w:t xml:space="preserve">l tipo, </w:t>
      </w:r>
      <w:r w:rsidR="00BD3385" w:rsidRPr="00AB1C80">
        <w:rPr>
          <w:rFonts w:cs="Arial"/>
          <w:color w:val="000000" w:themeColor="text1"/>
        </w:rPr>
        <w:t xml:space="preserve">constitución, </w:t>
      </w:r>
      <w:r w:rsidRPr="00AB1C80">
        <w:rPr>
          <w:rFonts w:cs="Arial"/>
          <w:color w:val="000000" w:themeColor="text1"/>
        </w:rPr>
        <w:t>calidad y los volúmenes de los subproductos, adicional al desarrollo tecnológico para el procesamiento de los materiales que facilite el reúso. Iniciativas del modelo circular extienden la vida útil de productos y materiales y evitan la disposición final como residuos.</w:t>
      </w:r>
    </w:p>
    <w:p w14:paraId="2ACED136" w14:textId="77777777" w:rsidR="00627BAF" w:rsidRPr="00AB1C80" w:rsidRDefault="00627BAF" w:rsidP="00AB1C80">
      <w:pPr>
        <w:spacing w:line="276" w:lineRule="auto"/>
        <w:rPr>
          <w:rFonts w:cs="Arial"/>
          <w:color w:val="000000" w:themeColor="text1"/>
        </w:rPr>
      </w:pPr>
    </w:p>
    <w:p w14:paraId="52252314" w14:textId="6D908503" w:rsidR="007E3363" w:rsidRPr="001337F2" w:rsidRDefault="007E3363" w:rsidP="007E33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val="es-ES" w:eastAsia="es-CO"/>
        </w:rPr>
      </w:pPr>
      <w:r w:rsidRPr="001337F2">
        <w:rPr>
          <w:rFonts w:eastAsia="Times New Roman" w:cs="Arial"/>
          <w:color w:val="202124"/>
          <w:szCs w:val="24"/>
          <w:lang w:val="es-ES" w:eastAsia="es-CO"/>
        </w:rPr>
        <w:t xml:space="preserve">La presente revisión de la literatura </w:t>
      </w:r>
      <w:r>
        <w:rPr>
          <w:rFonts w:eastAsia="Times New Roman" w:cs="Arial"/>
          <w:color w:val="202124"/>
          <w:szCs w:val="24"/>
          <w:lang w:val="es-ES" w:eastAsia="es-CO"/>
        </w:rPr>
        <w:t xml:space="preserve">internacional </w:t>
      </w:r>
      <w:r w:rsidRPr="001337F2">
        <w:rPr>
          <w:rFonts w:eastAsia="Times New Roman" w:cs="Arial"/>
          <w:color w:val="202124"/>
          <w:szCs w:val="24"/>
          <w:lang w:val="es-ES" w:eastAsia="es-CO"/>
        </w:rPr>
        <w:t>muestra los desafíos y oportunidades sobre la sostenibilidad en el contexto de la industria minera que requiere caminar hacia el objetivo final de una sociedad sostenible, donde el sector minero debe aportar esfuerzos para que sus operaciones sean verdaderamente sostenibles desde una perspectiva más holística, que considere compromiso continuo con las diferentes partes interesadas en todo el ciclo de vida, tanto de los proyectos mineros como de los productos basados en recursos minerales, lo que requiere atención al manejo adecuado de los recursos primarios y secundarios.</w:t>
      </w:r>
    </w:p>
    <w:p w14:paraId="509AF265" w14:textId="77777777" w:rsidR="007E3363" w:rsidRDefault="007E3363" w:rsidP="007E33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s="Arial"/>
          <w:color w:val="202124"/>
          <w:szCs w:val="24"/>
          <w:lang w:val="es-ES" w:eastAsia="es-CO"/>
        </w:rPr>
      </w:pPr>
    </w:p>
    <w:p w14:paraId="067C7D22" w14:textId="6351E93A" w:rsidR="0036556D" w:rsidRPr="00AB1C80" w:rsidRDefault="007E3363" w:rsidP="007E3363">
      <w:pPr>
        <w:spacing w:line="276" w:lineRule="auto"/>
        <w:rPr>
          <w:rFonts w:cs="Arial"/>
          <w:color w:val="000000" w:themeColor="text1"/>
        </w:rPr>
      </w:pPr>
      <w:r w:rsidRPr="0088108E">
        <w:rPr>
          <w:rFonts w:eastAsia="Times New Roman" w:cs="Arial"/>
          <w:color w:val="202124"/>
          <w:szCs w:val="24"/>
          <w:lang w:val="es-ES" w:eastAsia="es-CO"/>
        </w:rPr>
        <w:t>Se vislumbra la necesidad que el sector minero lidere iniciativas dirigidas a invertir de forma más proactiva en mejorar la sostenibilidad de sus operaciones mediante el manejo eficiente en el uso de los recursos y la recuperación de recursos secundarios, que contribuyan a disminuir los impactos ambientales a lo largo de las cadenas de valor, sobre la base del ciclo de vida   y sus contribuciones sustanciales a la economía circular. Así mismo, adoptar innovaciones en la industria de los minerales, con el objetivo de hacer a futuro operaciones globalmente sostenibles y no solo mejorar aspectos económicos, sino también sociales y ambientales de las operaciones mineras.</w:t>
      </w:r>
    </w:p>
    <w:p w14:paraId="42489B71" w14:textId="77777777" w:rsidR="0036556D" w:rsidRPr="00AB1C80" w:rsidRDefault="0036556D" w:rsidP="00AB1C80">
      <w:pPr>
        <w:spacing w:line="276" w:lineRule="auto"/>
        <w:rPr>
          <w:rFonts w:cs="Arial"/>
          <w:color w:val="000000" w:themeColor="text1"/>
        </w:rPr>
      </w:pPr>
    </w:p>
    <w:p w14:paraId="1F6718A1" w14:textId="77777777" w:rsidR="007C74C6" w:rsidRPr="00AB1C80" w:rsidRDefault="007C74C6" w:rsidP="00AB1C80">
      <w:pPr>
        <w:spacing w:line="276" w:lineRule="auto"/>
        <w:jc w:val="left"/>
        <w:rPr>
          <w:rFonts w:cs="Arial"/>
          <w:color w:val="000000" w:themeColor="text1"/>
        </w:rPr>
      </w:pPr>
      <w:r w:rsidRPr="00AB1C80">
        <w:rPr>
          <w:rFonts w:cs="Arial"/>
          <w:color w:val="000000" w:themeColor="text1"/>
        </w:rPr>
        <w:lastRenderedPageBreak/>
        <w:br w:type="page"/>
      </w:r>
    </w:p>
    <w:p w14:paraId="6CC9CCA2" w14:textId="679D43B9" w:rsidR="007C74C6" w:rsidRPr="00AB1C80" w:rsidRDefault="007C74C6" w:rsidP="00AB1C80">
      <w:pPr>
        <w:pStyle w:val="Ttulo1"/>
        <w:spacing w:line="276" w:lineRule="auto"/>
        <w:rPr>
          <w:rFonts w:cs="Arial"/>
          <w:lang w:val="es-CO"/>
        </w:rPr>
      </w:pPr>
      <w:bookmarkStart w:id="152" w:name="_Toc57315076"/>
      <w:bookmarkStart w:id="153" w:name="_Toc86332947"/>
      <w:r w:rsidRPr="00AB1C80">
        <w:rPr>
          <w:rFonts w:cs="Arial"/>
          <w:lang w:val="es-CO"/>
        </w:rPr>
        <w:lastRenderedPageBreak/>
        <w:t>BIBLIOGRAFÍA</w:t>
      </w:r>
      <w:bookmarkEnd w:id="152"/>
      <w:bookmarkEnd w:id="153"/>
    </w:p>
    <w:p w14:paraId="173C0ACB" w14:textId="7576C783" w:rsidR="00EC1D7A" w:rsidRPr="00AB1C80" w:rsidRDefault="00EC1D7A" w:rsidP="00AB1C80">
      <w:pPr>
        <w:spacing w:line="276" w:lineRule="auto"/>
        <w:rPr>
          <w:rFonts w:cs="Arial"/>
        </w:rPr>
      </w:pPr>
    </w:p>
    <w:p w14:paraId="52E82AC0"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BORREGAARD, N. Análisis de cuatro aspectos ligados al desarrollo de la actividad: Valorización económica de los impactos ambientales en la minería chilena. En: Ambiente y Desarrollo. Vol. 17. 2001. p. 50-58.</w:t>
      </w:r>
    </w:p>
    <w:p w14:paraId="51E5A243"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Chatham House (2020) The circular economy in Latin America and the Caribbean.</w:t>
      </w:r>
    </w:p>
    <w:p w14:paraId="1F9D6082"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Comber, Nicole; Federico, María Victoria; Moriena, Nicole (2013), Basura Cero en Buenos Aires.</w:t>
      </w:r>
    </w:p>
    <w:p w14:paraId="0347ECFE"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Decreto 1077 de 2015 “Por medio del cual se expide el Decreto Único Reglamentario del Sector Vivienda, Ciudad y Territorio.”</w:t>
      </w:r>
    </w:p>
    <w:p w14:paraId="6D09581D"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Fundación Ellen MacArthur (2019).</w:t>
      </w:r>
    </w:p>
    <w:p w14:paraId="7E590234"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Gobierno de la República de Colombia, 2019. Estrategia nacional de economía circular. Cierre de ciclos de materiales, innovación tecnológica, colaboración y nuevos modelos de negocio. Bogotá D.C., Colombia. Presidencia de la República; Ministerio de Ambiente y Desarrollo Sostenible; Ministerio de Comercio, Industria y Turismo.</w:t>
      </w:r>
    </w:p>
    <w:p w14:paraId="25A018A7" w14:textId="61EF558F"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https://www1.undp.org/content/undp/es/home/sustainable-development-goals.html</w:t>
      </w:r>
    </w:p>
    <w:p w14:paraId="2CE913BA" w14:textId="4E387DB5"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Memorias XII Congreso Internacional de Medio Ambiente. Economía Circular una herramienta para el desarrollo de los ODS. 2019”.</w:t>
      </w:r>
    </w:p>
    <w:p w14:paraId="59D2FC9A"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Ministerio de Ambiente y Desarrollo Sostenible, Departamento Administrativo Nacional de Estadística (2018).</w:t>
      </w:r>
    </w:p>
    <w:p w14:paraId="147100CD"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Ministerio de Ambiente y Desarrollo Sostenible, Ministerio de Comercio, Industria y Turismo (2019). Estrategia Nacional de Economía Circular “Cierre de ciclos materiales innovación, tecnología, colaboración y nuevos modelos de negocio”.</w:t>
      </w:r>
    </w:p>
    <w:p w14:paraId="46F09F00"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Ministerio de Minas y Energía - Dirección de Minería Empresarial, 2021. Economía Circular en el sector minero colombiano “Una oportunidad para la productividad de la minería”. Bogotá D.C., Colombia.</w:t>
      </w:r>
    </w:p>
    <w:p w14:paraId="6E918AD0" w14:textId="60872E85"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Ministerio de Minas y Energía, Resolución 40599 2015 Glosario Técnico Minero.</w:t>
      </w:r>
    </w:p>
    <w:p w14:paraId="3C7966BB"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Naciones Unidas, Sistema de Contabilidad Ambiental y Económica (SCAE) 2012 Marco Central.</w:t>
      </w:r>
    </w:p>
    <w:p w14:paraId="2258C142" w14:textId="77777777" w:rsidR="00444C39" w:rsidRPr="00AB1C80" w:rsidRDefault="00444C39" w:rsidP="00AB1C80">
      <w:pPr>
        <w:pStyle w:val="Prrafodelista"/>
        <w:numPr>
          <w:ilvl w:val="0"/>
          <w:numId w:val="19"/>
        </w:numPr>
        <w:spacing w:line="276" w:lineRule="auto"/>
        <w:ind w:left="284" w:hanging="284"/>
        <w:rPr>
          <w:rFonts w:cs="Arial"/>
        </w:rPr>
      </w:pPr>
      <w:r w:rsidRPr="00AB1C80">
        <w:rPr>
          <w:rFonts w:cs="Arial"/>
        </w:rPr>
        <w:t>Secretaría Distrital de Ambiente, Bogotá (2020). Guía Distrital para la transición hacia modelos de negocio circular.</w:t>
      </w:r>
    </w:p>
    <w:p w14:paraId="68D0EE83" w14:textId="630E2AE9" w:rsidR="00EC1D7A" w:rsidRPr="00AB1C80" w:rsidRDefault="00444C39" w:rsidP="00AB1C80">
      <w:pPr>
        <w:pStyle w:val="Prrafodelista"/>
        <w:numPr>
          <w:ilvl w:val="0"/>
          <w:numId w:val="19"/>
        </w:numPr>
        <w:spacing w:line="276" w:lineRule="auto"/>
        <w:ind w:left="284" w:hanging="284"/>
        <w:rPr>
          <w:rFonts w:cs="Arial"/>
        </w:rPr>
      </w:pPr>
      <w:r w:rsidRPr="00AB1C80">
        <w:rPr>
          <w:rFonts w:cs="Arial"/>
        </w:rPr>
        <w:t>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p w14:paraId="37B18CBA"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lastRenderedPageBreak/>
        <w:t xml:space="preserve">African circular economy </w:t>
      </w:r>
      <w:proofErr w:type="spellStart"/>
      <w:r w:rsidRPr="00AB1C80">
        <w:rPr>
          <w:rFonts w:eastAsia="Calibri" w:cs="Arial"/>
          <w:szCs w:val="24"/>
        </w:rPr>
        <w:t>alliance</w:t>
      </w:r>
      <w:proofErr w:type="spellEnd"/>
      <w:r w:rsidRPr="00AB1C80">
        <w:rPr>
          <w:rFonts w:eastAsia="Calibri" w:cs="Arial"/>
          <w:szCs w:val="24"/>
        </w:rPr>
        <w:t xml:space="preserve">, </w:t>
      </w:r>
      <w:proofErr w:type="spellStart"/>
      <w:r w:rsidRPr="00AB1C80">
        <w:rPr>
          <w:rFonts w:eastAsia="Calibri" w:cs="Arial"/>
          <w:szCs w:val="24"/>
        </w:rPr>
        <w:t>konrad</w:t>
      </w:r>
      <w:proofErr w:type="spellEnd"/>
      <w:r w:rsidRPr="00AB1C80">
        <w:rPr>
          <w:rFonts w:eastAsia="Calibri" w:cs="Arial"/>
          <w:szCs w:val="24"/>
        </w:rPr>
        <w:t xml:space="preserve"> </w:t>
      </w:r>
      <w:proofErr w:type="spellStart"/>
      <w:r w:rsidRPr="00AB1C80">
        <w:rPr>
          <w:rFonts w:eastAsia="Calibri" w:cs="Arial"/>
          <w:szCs w:val="24"/>
        </w:rPr>
        <w:t>adenauer</w:t>
      </w:r>
      <w:proofErr w:type="spellEnd"/>
      <w:r w:rsidRPr="00AB1C80">
        <w:rPr>
          <w:rFonts w:eastAsia="Calibri" w:cs="Arial"/>
          <w:szCs w:val="24"/>
        </w:rPr>
        <w:t xml:space="preserve"> and </w:t>
      </w:r>
      <w:proofErr w:type="spellStart"/>
      <w:r w:rsidRPr="00AB1C80">
        <w:rPr>
          <w:rFonts w:eastAsia="Calibri" w:cs="Arial"/>
          <w:szCs w:val="24"/>
        </w:rPr>
        <w:t>dalberg</w:t>
      </w:r>
      <w:proofErr w:type="spellEnd"/>
      <w:r w:rsidRPr="00AB1C80">
        <w:rPr>
          <w:rFonts w:eastAsia="Calibri" w:cs="Arial"/>
          <w:szCs w:val="24"/>
        </w:rPr>
        <w:t xml:space="preserve">. </w:t>
      </w:r>
      <w:proofErr w:type="spellStart"/>
      <w:r w:rsidRPr="00AB1C80">
        <w:rPr>
          <w:rFonts w:eastAsia="Calibri" w:cs="Arial"/>
          <w:szCs w:val="24"/>
        </w:rPr>
        <w:t>Increasing</w:t>
      </w:r>
      <w:proofErr w:type="spellEnd"/>
      <w:r w:rsidRPr="00AB1C80">
        <w:rPr>
          <w:rFonts w:eastAsia="Calibri" w:cs="Arial"/>
          <w:szCs w:val="24"/>
        </w:rPr>
        <w:t xml:space="preserve"> Circularity in </w:t>
      </w:r>
      <w:proofErr w:type="spellStart"/>
      <w:r w:rsidRPr="00AB1C80">
        <w:rPr>
          <w:rFonts w:eastAsia="Calibri" w:cs="Arial"/>
          <w:szCs w:val="24"/>
        </w:rPr>
        <w:t>Africa’s</w:t>
      </w:r>
      <w:proofErr w:type="spellEnd"/>
      <w:r w:rsidRPr="00AB1C80">
        <w:rPr>
          <w:rFonts w:eastAsia="Calibri" w:cs="Arial"/>
          <w:szCs w:val="24"/>
        </w:rPr>
        <w:t xml:space="preserve"> Mining Sector, 2020</w:t>
      </w:r>
    </w:p>
    <w:p w14:paraId="31708A79" w14:textId="77777777" w:rsidR="00F3736B" w:rsidRPr="00AB1C80" w:rsidRDefault="00F3736B" w:rsidP="00AB1C80">
      <w:pPr>
        <w:pStyle w:val="Prrafodelist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84" w:hanging="284"/>
        <w:rPr>
          <w:rFonts w:eastAsia="Calibri" w:cs="Arial"/>
          <w:szCs w:val="24"/>
        </w:rPr>
      </w:pPr>
      <w:r w:rsidRPr="00AB1C80">
        <w:rPr>
          <w:rFonts w:eastAsia="Calibri" w:cs="Arial"/>
          <w:szCs w:val="24"/>
        </w:rPr>
        <w:t xml:space="preserve">Comisión Europea, CE Finance Expert Group, </w:t>
      </w:r>
      <w:proofErr w:type="spellStart"/>
      <w:r w:rsidRPr="00AB1C80">
        <w:rPr>
          <w:rFonts w:eastAsia="Calibri" w:cs="Arial"/>
          <w:szCs w:val="24"/>
        </w:rPr>
        <w:t>Categorisation</w:t>
      </w:r>
      <w:proofErr w:type="spellEnd"/>
      <w:r w:rsidRPr="00AB1C80">
        <w:rPr>
          <w:rFonts w:eastAsia="Calibri" w:cs="Arial"/>
          <w:szCs w:val="24"/>
        </w:rPr>
        <w:t xml:space="preserve"> </w:t>
      </w:r>
      <w:proofErr w:type="spellStart"/>
      <w:r w:rsidRPr="00AB1C80">
        <w:rPr>
          <w:rFonts w:eastAsia="Calibri" w:cs="Arial"/>
          <w:szCs w:val="24"/>
        </w:rPr>
        <w:t>System</w:t>
      </w:r>
      <w:proofErr w:type="spellEnd"/>
      <w:r w:rsidRPr="00AB1C80">
        <w:rPr>
          <w:rFonts w:eastAsia="Calibri" w:cs="Arial"/>
          <w:szCs w:val="24"/>
        </w:rPr>
        <w:t xml:space="preserve"> for the Circular Economy, 2020.</w:t>
      </w:r>
    </w:p>
    <w:p w14:paraId="457D01B3" w14:textId="77777777" w:rsidR="00F3736B" w:rsidRPr="00AB1C80" w:rsidRDefault="00F3736B" w:rsidP="00AB1C80">
      <w:pPr>
        <w:pStyle w:val="Prrafodelista"/>
        <w:numPr>
          <w:ilvl w:val="0"/>
          <w:numId w:val="19"/>
        </w:numPr>
        <w:spacing w:line="276" w:lineRule="auto"/>
        <w:ind w:left="284" w:hanging="284"/>
        <w:rPr>
          <w:rFonts w:cs="Arial"/>
          <w:b/>
          <w:i/>
          <w:szCs w:val="24"/>
        </w:rPr>
      </w:pPr>
      <w:r w:rsidRPr="00AB1C80">
        <w:rPr>
          <w:rFonts w:eastAsia="Calibri" w:cs="Arial"/>
          <w:szCs w:val="24"/>
        </w:rPr>
        <w:t xml:space="preserve">Comisión Europea- Eco </w:t>
      </w:r>
      <w:proofErr w:type="spellStart"/>
      <w:r w:rsidRPr="00AB1C80">
        <w:rPr>
          <w:rFonts w:eastAsia="Calibri" w:cs="Arial"/>
          <w:szCs w:val="24"/>
        </w:rPr>
        <w:t>Efficiency</w:t>
      </w:r>
      <w:proofErr w:type="spellEnd"/>
      <w:r w:rsidRPr="00AB1C80">
        <w:rPr>
          <w:rFonts w:eastAsia="Calibri" w:cs="Arial"/>
          <w:szCs w:val="24"/>
        </w:rPr>
        <w:t xml:space="preserve"> </w:t>
      </w:r>
      <w:proofErr w:type="spellStart"/>
      <w:r w:rsidRPr="00AB1C80">
        <w:rPr>
          <w:rFonts w:eastAsia="Calibri" w:cs="Arial"/>
          <w:szCs w:val="24"/>
        </w:rPr>
        <w:t>Consulting</w:t>
      </w:r>
      <w:proofErr w:type="spellEnd"/>
      <w:r w:rsidRPr="00AB1C80">
        <w:rPr>
          <w:rFonts w:eastAsia="Calibri" w:cs="Arial"/>
          <w:szCs w:val="24"/>
        </w:rPr>
        <w:t xml:space="preserve"> and Engineering Ltd. </w:t>
      </w:r>
      <w:proofErr w:type="spellStart"/>
      <w:r w:rsidRPr="00AB1C80">
        <w:rPr>
          <w:rFonts w:eastAsia="Calibri" w:cs="Arial"/>
          <w:szCs w:val="24"/>
        </w:rPr>
        <w:t>Development</w:t>
      </w:r>
      <w:proofErr w:type="spellEnd"/>
      <w:r w:rsidRPr="00AB1C80">
        <w:rPr>
          <w:rFonts w:eastAsia="Calibri" w:cs="Arial"/>
          <w:szCs w:val="24"/>
        </w:rPr>
        <w:t xml:space="preserve"> </w:t>
      </w:r>
      <w:proofErr w:type="spellStart"/>
      <w:r w:rsidRPr="00AB1C80">
        <w:rPr>
          <w:rFonts w:eastAsia="Calibri" w:cs="Arial"/>
          <w:szCs w:val="24"/>
        </w:rPr>
        <w:t>of</w:t>
      </w:r>
      <w:proofErr w:type="spellEnd"/>
      <w:r w:rsidRPr="00AB1C80">
        <w:rPr>
          <w:rFonts w:eastAsia="Calibri" w:cs="Arial"/>
          <w:szCs w:val="24"/>
        </w:rPr>
        <w:t xml:space="preserve"> a </w:t>
      </w:r>
      <w:proofErr w:type="spellStart"/>
      <w:r w:rsidRPr="00AB1C80">
        <w:rPr>
          <w:rFonts w:eastAsia="Calibri" w:cs="Arial"/>
          <w:szCs w:val="24"/>
        </w:rPr>
        <w:t>guidance</w:t>
      </w:r>
      <w:proofErr w:type="spellEnd"/>
      <w:r w:rsidRPr="00AB1C80">
        <w:rPr>
          <w:rFonts w:eastAsia="Calibri" w:cs="Arial"/>
          <w:szCs w:val="24"/>
        </w:rPr>
        <w:t xml:space="preserve"> </w:t>
      </w:r>
      <w:proofErr w:type="spellStart"/>
      <w:r w:rsidRPr="00AB1C80">
        <w:rPr>
          <w:rFonts w:eastAsia="Calibri" w:cs="Arial"/>
          <w:szCs w:val="24"/>
        </w:rPr>
        <w:t>document</w:t>
      </w:r>
      <w:proofErr w:type="spellEnd"/>
      <w:r w:rsidRPr="00AB1C80">
        <w:rPr>
          <w:rFonts w:eastAsia="Calibri" w:cs="Arial"/>
          <w:szCs w:val="24"/>
        </w:rPr>
        <w:t xml:space="preserve"> </w:t>
      </w:r>
      <w:proofErr w:type="spellStart"/>
      <w:r w:rsidRPr="00AB1C80">
        <w:rPr>
          <w:rFonts w:eastAsia="Calibri" w:cs="Arial"/>
          <w:szCs w:val="24"/>
        </w:rPr>
        <w:t>on</w:t>
      </w:r>
      <w:proofErr w:type="spellEnd"/>
      <w:r w:rsidRPr="00AB1C80">
        <w:rPr>
          <w:rFonts w:eastAsia="Calibri" w:cs="Arial"/>
          <w:szCs w:val="24"/>
        </w:rPr>
        <w:t xml:space="preserve"> </w:t>
      </w:r>
      <w:proofErr w:type="spellStart"/>
      <w:r w:rsidRPr="00AB1C80">
        <w:rPr>
          <w:rFonts w:eastAsia="Calibri" w:cs="Arial"/>
          <w:szCs w:val="24"/>
        </w:rPr>
        <w:t>best</w:t>
      </w:r>
      <w:proofErr w:type="spellEnd"/>
      <w:r w:rsidRPr="00AB1C80">
        <w:rPr>
          <w:rFonts w:eastAsia="Calibri" w:cs="Arial"/>
          <w:szCs w:val="24"/>
        </w:rPr>
        <w:t xml:space="preserve"> </w:t>
      </w:r>
      <w:proofErr w:type="spellStart"/>
      <w:r w:rsidRPr="00AB1C80">
        <w:rPr>
          <w:rFonts w:eastAsia="Calibri" w:cs="Arial"/>
          <w:szCs w:val="24"/>
        </w:rPr>
        <w:t>practices</w:t>
      </w:r>
      <w:proofErr w:type="spellEnd"/>
      <w:r w:rsidRPr="00AB1C80">
        <w:rPr>
          <w:rFonts w:eastAsia="Calibri" w:cs="Arial"/>
          <w:szCs w:val="24"/>
        </w:rPr>
        <w:t xml:space="preserve"> in the Extractive Waste Management </w:t>
      </w:r>
      <w:proofErr w:type="spellStart"/>
      <w:r w:rsidRPr="00AB1C80">
        <w:rPr>
          <w:rFonts w:eastAsia="Calibri" w:cs="Arial"/>
          <w:szCs w:val="24"/>
        </w:rPr>
        <w:t>Plans</w:t>
      </w:r>
      <w:proofErr w:type="spellEnd"/>
      <w:r w:rsidRPr="00AB1C80">
        <w:rPr>
          <w:rFonts w:eastAsia="Calibri" w:cs="Arial"/>
          <w:szCs w:val="24"/>
        </w:rPr>
        <w:t>, 2019</w:t>
      </w:r>
    </w:p>
    <w:p w14:paraId="67B6FD47" w14:textId="77777777" w:rsidR="00F3736B" w:rsidRPr="00AB1C80" w:rsidRDefault="00F3736B" w:rsidP="00AB1C80">
      <w:pPr>
        <w:pStyle w:val="Prrafodelist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84" w:hanging="284"/>
        <w:rPr>
          <w:rFonts w:eastAsia="Times New Roman" w:cs="Arial"/>
          <w:color w:val="202124"/>
          <w:szCs w:val="24"/>
          <w:lang w:eastAsia="es-CO"/>
        </w:rPr>
      </w:pPr>
      <w:r w:rsidRPr="00AB1C80">
        <w:rPr>
          <w:rFonts w:eastAsia="Times New Roman" w:cs="Arial"/>
          <w:color w:val="202124"/>
          <w:szCs w:val="24"/>
          <w:lang w:eastAsia="es-CO"/>
        </w:rPr>
        <w:t xml:space="preserve">Ellen Macarthur Foundation. </w:t>
      </w:r>
      <w:proofErr w:type="spellStart"/>
      <w:r w:rsidRPr="00AB1C80">
        <w:rPr>
          <w:rFonts w:eastAsia="Times New Roman" w:cs="Arial"/>
          <w:color w:val="202124"/>
          <w:szCs w:val="24"/>
          <w:lang w:eastAsia="es-CO"/>
        </w:rPr>
        <w:t>Financing</w:t>
      </w:r>
      <w:proofErr w:type="spellEnd"/>
      <w:r w:rsidRPr="00AB1C80">
        <w:rPr>
          <w:rFonts w:eastAsia="Times New Roman" w:cs="Arial"/>
          <w:color w:val="202124"/>
          <w:szCs w:val="24"/>
          <w:lang w:eastAsia="es-CO"/>
        </w:rPr>
        <w:t xml:space="preserve"> the circular economy, 2020</w:t>
      </w:r>
    </w:p>
    <w:p w14:paraId="721F710B" w14:textId="77777777" w:rsidR="00F3736B" w:rsidRPr="00AB1C80" w:rsidRDefault="00F3736B" w:rsidP="00AB1C80">
      <w:pPr>
        <w:pStyle w:val="Prrafodelista"/>
        <w:numPr>
          <w:ilvl w:val="0"/>
          <w:numId w:val="19"/>
        </w:numPr>
        <w:autoSpaceDE w:val="0"/>
        <w:autoSpaceDN w:val="0"/>
        <w:adjustRightInd w:val="0"/>
        <w:spacing w:line="276" w:lineRule="auto"/>
        <w:ind w:left="284" w:hanging="284"/>
        <w:rPr>
          <w:rFonts w:eastAsia="Calibri" w:cs="Arial"/>
          <w:szCs w:val="24"/>
        </w:rPr>
      </w:pPr>
      <w:r w:rsidRPr="00AB1C80">
        <w:rPr>
          <w:rFonts w:eastAsia="Calibri" w:cs="Arial"/>
          <w:szCs w:val="24"/>
        </w:rPr>
        <w:t xml:space="preserve">Estrada, Jorge Andrews. Diseño de procesos para recuperar oro y plata desde el depósito de relaves de Minera Meridian, Chile, 2012. </w:t>
      </w:r>
    </w:p>
    <w:p w14:paraId="3B40B48C" w14:textId="77777777" w:rsidR="00F3736B" w:rsidRPr="00AB1C80" w:rsidRDefault="00F3736B" w:rsidP="00AB1C80">
      <w:pPr>
        <w:pStyle w:val="Prrafodelist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84" w:hanging="284"/>
        <w:rPr>
          <w:rFonts w:eastAsia="Times New Roman" w:cs="Arial"/>
          <w:color w:val="202124"/>
          <w:szCs w:val="24"/>
          <w:lang w:eastAsia="es-CO"/>
        </w:rPr>
      </w:pPr>
      <w:r w:rsidRPr="00AB1C80">
        <w:rPr>
          <w:rFonts w:eastAsia="Calibri" w:cs="Arial"/>
          <w:szCs w:val="24"/>
        </w:rPr>
        <w:t xml:space="preserve">RR </w:t>
      </w:r>
      <w:proofErr w:type="spellStart"/>
      <w:r w:rsidRPr="00AB1C80">
        <w:rPr>
          <w:rFonts w:eastAsia="Calibri" w:cs="Arial"/>
          <w:szCs w:val="24"/>
        </w:rPr>
        <w:t>Donnelley</w:t>
      </w:r>
      <w:proofErr w:type="spellEnd"/>
      <w:r w:rsidRPr="00AB1C80">
        <w:rPr>
          <w:rFonts w:eastAsia="Times New Roman" w:cs="Arial"/>
          <w:color w:val="202124"/>
          <w:szCs w:val="24"/>
          <w:lang w:eastAsia="es-CO"/>
        </w:rPr>
        <w:t xml:space="preserve">, </w:t>
      </w:r>
      <w:proofErr w:type="spellStart"/>
      <w:r w:rsidRPr="00AB1C80">
        <w:rPr>
          <w:rFonts w:eastAsia="Times New Roman" w:cs="Arial"/>
          <w:color w:val="202124"/>
          <w:szCs w:val="24"/>
          <w:lang w:eastAsia="es-CO"/>
        </w:rPr>
        <w:t>scotland’s</w:t>
      </w:r>
      <w:proofErr w:type="spellEnd"/>
      <w:r w:rsidRPr="00AB1C80">
        <w:rPr>
          <w:rFonts w:eastAsia="Times New Roman" w:cs="Arial"/>
          <w:color w:val="202124"/>
          <w:szCs w:val="24"/>
          <w:lang w:eastAsia="es-CO"/>
        </w:rPr>
        <w:t xml:space="preserve"> </w:t>
      </w:r>
      <w:proofErr w:type="spellStart"/>
      <w:r w:rsidRPr="00AB1C80">
        <w:rPr>
          <w:rFonts w:eastAsia="Times New Roman" w:cs="Arial"/>
          <w:color w:val="202124"/>
          <w:szCs w:val="24"/>
          <w:lang w:eastAsia="es-CO"/>
        </w:rPr>
        <w:t>zero</w:t>
      </w:r>
      <w:proofErr w:type="spellEnd"/>
      <w:r w:rsidRPr="00AB1C80">
        <w:rPr>
          <w:rFonts w:eastAsia="Times New Roman" w:cs="Arial"/>
          <w:color w:val="202124"/>
          <w:szCs w:val="24"/>
          <w:lang w:eastAsia="es-CO"/>
        </w:rPr>
        <w:t xml:space="preserve"> </w:t>
      </w:r>
      <w:proofErr w:type="spellStart"/>
      <w:r w:rsidRPr="00AB1C80">
        <w:rPr>
          <w:rFonts w:eastAsia="Times New Roman" w:cs="Arial"/>
          <w:color w:val="202124"/>
          <w:szCs w:val="24"/>
          <w:lang w:eastAsia="es-CO"/>
        </w:rPr>
        <w:t>waste</w:t>
      </w:r>
      <w:proofErr w:type="spellEnd"/>
      <w:r w:rsidRPr="00AB1C80">
        <w:rPr>
          <w:rFonts w:eastAsia="Times New Roman" w:cs="Arial"/>
          <w:color w:val="202124"/>
          <w:szCs w:val="24"/>
          <w:lang w:eastAsia="es-CO"/>
        </w:rPr>
        <w:t xml:space="preserve"> plan. </w:t>
      </w:r>
      <w:r w:rsidRPr="00AB1C80">
        <w:rPr>
          <w:rFonts w:eastAsia="Calibri" w:cs="Arial"/>
          <w:szCs w:val="24"/>
        </w:rPr>
        <w:t xml:space="preserve">Nature Scotland - </w:t>
      </w:r>
      <w:r w:rsidRPr="00AB1C80">
        <w:rPr>
          <w:rFonts w:eastAsia="Times New Roman" w:cs="Arial"/>
          <w:color w:val="202124"/>
          <w:szCs w:val="24"/>
          <w:lang w:eastAsia="es-CO"/>
        </w:rPr>
        <w:t xml:space="preserve">Scottish Government, </w:t>
      </w:r>
      <w:r w:rsidRPr="00AB1C80">
        <w:rPr>
          <w:rFonts w:eastAsia="Calibri" w:cs="Arial"/>
          <w:szCs w:val="24"/>
        </w:rPr>
        <w:t>2010</w:t>
      </w:r>
    </w:p>
    <w:p w14:paraId="3C5B3AF2" w14:textId="77777777" w:rsidR="00F3736B" w:rsidRPr="00AB1C80" w:rsidRDefault="00F3736B" w:rsidP="00AB1C80">
      <w:pPr>
        <w:pStyle w:val="Prrafodelista"/>
        <w:numPr>
          <w:ilvl w:val="0"/>
          <w:numId w:val="19"/>
        </w:numPr>
        <w:spacing w:line="276" w:lineRule="auto"/>
        <w:ind w:left="284" w:hanging="284"/>
        <w:rPr>
          <w:rFonts w:cs="Arial"/>
          <w:szCs w:val="24"/>
        </w:rPr>
      </w:pPr>
      <w:r w:rsidRPr="00AB1C80">
        <w:rPr>
          <w:rFonts w:cs="Arial"/>
          <w:szCs w:val="24"/>
        </w:rPr>
        <w:t xml:space="preserve">Golev A, </w:t>
      </w:r>
      <w:proofErr w:type="spellStart"/>
      <w:r w:rsidRPr="00AB1C80">
        <w:rPr>
          <w:rFonts w:cs="Arial"/>
          <w:szCs w:val="24"/>
        </w:rPr>
        <w:t>LebreE</w:t>
      </w:r>
      <w:proofErr w:type="spellEnd"/>
      <w:r w:rsidRPr="00AB1C80">
        <w:rPr>
          <w:rFonts w:cs="Arial"/>
          <w:szCs w:val="24"/>
        </w:rPr>
        <w:t xml:space="preserve"> and Corder G. Sustainable Minerals Institute, The University of Queensland, Australia, The </w:t>
      </w:r>
      <w:proofErr w:type="spellStart"/>
      <w:r w:rsidRPr="00AB1C80">
        <w:rPr>
          <w:rFonts w:cs="Arial"/>
          <w:szCs w:val="24"/>
        </w:rPr>
        <w:t>contribution</w:t>
      </w:r>
      <w:proofErr w:type="spellEnd"/>
      <w:r w:rsidRPr="00AB1C80">
        <w:rPr>
          <w:rFonts w:cs="Arial"/>
          <w:szCs w:val="24"/>
        </w:rPr>
        <w:t xml:space="preserve"> </w:t>
      </w:r>
      <w:proofErr w:type="spellStart"/>
      <w:r w:rsidRPr="00AB1C80">
        <w:rPr>
          <w:rFonts w:cs="Arial"/>
          <w:szCs w:val="24"/>
        </w:rPr>
        <w:t>of</w:t>
      </w:r>
      <w:proofErr w:type="spellEnd"/>
      <w:r w:rsidRPr="00AB1C80">
        <w:rPr>
          <w:rFonts w:cs="Arial"/>
          <w:szCs w:val="24"/>
        </w:rPr>
        <w:t xml:space="preserve"> </w:t>
      </w:r>
      <w:proofErr w:type="spellStart"/>
      <w:r w:rsidRPr="00AB1C80">
        <w:rPr>
          <w:rFonts w:cs="Arial"/>
          <w:szCs w:val="24"/>
        </w:rPr>
        <w:t>mining</w:t>
      </w:r>
      <w:proofErr w:type="spellEnd"/>
      <w:r w:rsidRPr="00AB1C80">
        <w:rPr>
          <w:rFonts w:cs="Arial"/>
          <w:szCs w:val="24"/>
        </w:rPr>
        <w:t xml:space="preserve"> </w:t>
      </w:r>
      <w:proofErr w:type="spellStart"/>
      <w:r w:rsidRPr="00AB1C80">
        <w:rPr>
          <w:rFonts w:cs="Arial"/>
          <w:szCs w:val="24"/>
        </w:rPr>
        <w:t>to</w:t>
      </w:r>
      <w:proofErr w:type="spellEnd"/>
      <w:r w:rsidRPr="00AB1C80">
        <w:rPr>
          <w:rFonts w:cs="Arial"/>
          <w:szCs w:val="24"/>
        </w:rPr>
        <w:t xml:space="preserve"> the </w:t>
      </w:r>
      <w:proofErr w:type="spellStart"/>
      <w:r w:rsidRPr="00AB1C80">
        <w:rPr>
          <w:rFonts w:cs="Arial"/>
          <w:szCs w:val="24"/>
        </w:rPr>
        <w:t>emerging</w:t>
      </w:r>
      <w:proofErr w:type="spellEnd"/>
      <w:r w:rsidRPr="00AB1C80">
        <w:rPr>
          <w:rFonts w:cs="Arial"/>
          <w:szCs w:val="24"/>
        </w:rPr>
        <w:t xml:space="preserve"> circular economy, 2016.</w:t>
      </w:r>
    </w:p>
    <w:p w14:paraId="12F138D3" w14:textId="77777777" w:rsidR="00F3736B" w:rsidRPr="00AB1C80" w:rsidRDefault="00F3736B" w:rsidP="00AB1C80">
      <w:pPr>
        <w:pStyle w:val="Prrafodelista"/>
        <w:numPr>
          <w:ilvl w:val="0"/>
          <w:numId w:val="19"/>
        </w:numPr>
        <w:spacing w:line="276" w:lineRule="auto"/>
        <w:ind w:left="284" w:hanging="284"/>
        <w:rPr>
          <w:rFonts w:eastAsia="Calibri" w:cs="Arial"/>
          <w:bCs/>
          <w:szCs w:val="24"/>
        </w:rPr>
      </w:pPr>
      <w:r w:rsidRPr="00AB1C80">
        <w:rPr>
          <w:rFonts w:eastAsia="Calibri" w:cs="Arial"/>
          <w:bCs/>
          <w:szCs w:val="24"/>
        </w:rPr>
        <w:t>Kishimoto, Fidel. El sector minero y su rol como impulsor de la economía circular en el Perú, 2021.</w:t>
      </w:r>
    </w:p>
    <w:p w14:paraId="4B1DA123"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Lehmann Luis, Economía Circular, el cambio cultural. El modelo sostenible para la Reactivación,</w:t>
      </w:r>
    </w:p>
    <w:p w14:paraId="4ABB952E"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2020 Argentina.</w:t>
      </w:r>
    </w:p>
    <w:p w14:paraId="1956DAE8" w14:textId="77777777" w:rsidR="00F3736B" w:rsidRPr="00AB1C80" w:rsidRDefault="00F3736B" w:rsidP="00AB1C80">
      <w:pPr>
        <w:pStyle w:val="Prrafodelista"/>
        <w:numPr>
          <w:ilvl w:val="0"/>
          <w:numId w:val="19"/>
        </w:numPr>
        <w:autoSpaceDE w:val="0"/>
        <w:autoSpaceDN w:val="0"/>
        <w:adjustRightInd w:val="0"/>
        <w:spacing w:line="276" w:lineRule="auto"/>
        <w:ind w:left="284" w:hanging="284"/>
        <w:rPr>
          <w:rFonts w:eastAsia="Calibri" w:cs="Arial"/>
          <w:szCs w:val="24"/>
        </w:rPr>
      </w:pPr>
      <w:r w:rsidRPr="00AB1C80">
        <w:rPr>
          <w:rFonts w:eastAsia="Calibri" w:cs="Arial"/>
          <w:szCs w:val="24"/>
        </w:rPr>
        <w:t>Mendiola Soberón Luis Paolo Francisco, Aplicación de economías circulares en minería, Tesis de Posgrado, Pontificia Universidad Católica del Perú, 2019</w:t>
      </w:r>
    </w:p>
    <w:p w14:paraId="3418BDEA" w14:textId="77777777" w:rsidR="00F3736B" w:rsidRPr="00AB1C80" w:rsidRDefault="00F3736B" w:rsidP="00AB1C80">
      <w:pPr>
        <w:pStyle w:val="Prrafodelista"/>
        <w:numPr>
          <w:ilvl w:val="0"/>
          <w:numId w:val="19"/>
        </w:numPr>
        <w:spacing w:line="276" w:lineRule="auto"/>
        <w:ind w:left="284" w:hanging="284"/>
        <w:rPr>
          <w:rFonts w:eastAsia="Times New Roman" w:cs="Arial"/>
          <w:szCs w:val="24"/>
        </w:rPr>
      </w:pPr>
      <w:r w:rsidRPr="00AB1C80">
        <w:rPr>
          <w:rFonts w:eastAsia="Times New Roman" w:cs="Arial"/>
          <w:szCs w:val="24"/>
        </w:rPr>
        <w:t xml:space="preserve">MINERALS AND METALS, CIRCULAR ECONOMY GLOBAL SECTOR BEST PRACTICES SERIES, 2020. </w:t>
      </w:r>
    </w:p>
    <w:p w14:paraId="343A865C"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 xml:space="preserve">Nueva Minería y Energía, LIBRO BLANCO DE ECONOMÍA CIRCULAR DE ECUADOR (2021) </w:t>
      </w:r>
    </w:p>
    <w:p w14:paraId="444154C8"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ONU Programa para el Medio Ambiente, 2020. Economía Circular resiliente e inclusiva para reconstruir mejor y más verde</w:t>
      </w:r>
    </w:p>
    <w:p w14:paraId="195E62F0" w14:textId="77777777" w:rsidR="00F3736B" w:rsidRPr="00AB1C80" w:rsidRDefault="00F3736B" w:rsidP="00AB1C80">
      <w:pPr>
        <w:pStyle w:val="Prrafodelist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84" w:hanging="284"/>
        <w:rPr>
          <w:rFonts w:eastAsia="Times New Roman" w:cs="Arial"/>
          <w:color w:val="202124"/>
          <w:szCs w:val="24"/>
          <w:lang w:eastAsia="es-CO"/>
        </w:rPr>
      </w:pPr>
      <w:r w:rsidRPr="00AB1C80">
        <w:rPr>
          <w:rFonts w:eastAsia="Calibri" w:cs="Arial"/>
          <w:szCs w:val="24"/>
        </w:rPr>
        <w:t>Segura-Salazar Juliana y Luís Marcelo Tavares Luis Marcelo</w:t>
      </w:r>
      <w:r w:rsidRPr="00AB1C80">
        <w:rPr>
          <w:rFonts w:eastAsia="Times New Roman" w:cs="Arial"/>
          <w:color w:val="202124"/>
          <w:szCs w:val="24"/>
          <w:lang w:eastAsia="es-CO"/>
        </w:rPr>
        <w:t xml:space="preserve">. Sostenibilidad en la industria de los minerales: Buscando un consenso sobre su significado. </w:t>
      </w:r>
      <w:r w:rsidRPr="00AB1C80">
        <w:rPr>
          <w:rFonts w:eastAsia="Times New Roman" w:cs="Arial"/>
          <w:color w:val="000000"/>
          <w:szCs w:val="24"/>
        </w:rPr>
        <w:t>Smart Prosperity Institute, 2018.</w:t>
      </w:r>
    </w:p>
    <w:p w14:paraId="55064257"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 xml:space="preserve">Ribeiro Duthie, Ana Cristina. Economía Circular y el papel de la minería. Presentación – </w:t>
      </w:r>
      <w:proofErr w:type="spellStart"/>
      <w:r w:rsidRPr="00AB1C80">
        <w:rPr>
          <w:rFonts w:eastAsia="Calibri" w:cs="Arial"/>
          <w:szCs w:val="24"/>
        </w:rPr>
        <w:t>ResearchGate</w:t>
      </w:r>
      <w:proofErr w:type="spellEnd"/>
      <w:r w:rsidRPr="00AB1C80">
        <w:rPr>
          <w:rFonts w:eastAsia="Calibri" w:cs="Arial"/>
          <w:szCs w:val="24"/>
        </w:rPr>
        <w:t>, 2017.</w:t>
      </w:r>
    </w:p>
    <w:p w14:paraId="6C2BE370"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 xml:space="preserve">Sudha Jala, Dinesh Goyal. </w:t>
      </w:r>
      <w:proofErr w:type="spellStart"/>
      <w:r w:rsidRPr="00AB1C80">
        <w:rPr>
          <w:rFonts w:eastAsia="Calibri" w:cs="Arial"/>
          <w:szCs w:val="24"/>
        </w:rPr>
        <w:t>Fly</w:t>
      </w:r>
      <w:proofErr w:type="spellEnd"/>
      <w:r w:rsidRPr="00AB1C80">
        <w:rPr>
          <w:rFonts w:eastAsia="Calibri" w:cs="Arial"/>
          <w:szCs w:val="24"/>
        </w:rPr>
        <w:t xml:space="preserve"> </w:t>
      </w:r>
      <w:proofErr w:type="spellStart"/>
      <w:r w:rsidRPr="00AB1C80">
        <w:rPr>
          <w:rFonts w:eastAsia="Calibri" w:cs="Arial"/>
          <w:szCs w:val="24"/>
        </w:rPr>
        <w:t>ash</w:t>
      </w:r>
      <w:proofErr w:type="spellEnd"/>
      <w:r w:rsidRPr="00AB1C80">
        <w:rPr>
          <w:rFonts w:eastAsia="Calibri" w:cs="Arial"/>
          <w:szCs w:val="24"/>
        </w:rPr>
        <w:t xml:space="preserve"> as a </w:t>
      </w:r>
      <w:proofErr w:type="spellStart"/>
      <w:r w:rsidRPr="00AB1C80">
        <w:rPr>
          <w:rFonts w:eastAsia="Calibri" w:cs="Arial"/>
          <w:szCs w:val="24"/>
        </w:rPr>
        <w:t>soil</w:t>
      </w:r>
      <w:proofErr w:type="spellEnd"/>
      <w:r w:rsidRPr="00AB1C80">
        <w:rPr>
          <w:rFonts w:eastAsia="Calibri" w:cs="Arial"/>
          <w:szCs w:val="24"/>
        </w:rPr>
        <w:t xml:space="preserve"> </w:t>
      </w:r>
      <w:proofErr w:type="spellStart"/>
      <w:r w:rsidRPr="00AB1C80">
        <w:rPr>
          <w:rFonts w:eastAsia="Calibri" w:cs="Arial"/>
          <w:szCs w:val="24"/>
        </w:rPr>
        <w:t>ameliorant</w:t>
      </w:r>
      <w:proofErr w:type="spellEnd"/>
      <w:r w:rsidRPr="00AB1C80">
        <w:rPr>
          <w:rFonts w:eastAsia="Calibri" w:cs="Arial"/>
          <w:szCs w:val="24"/>
        </w:rPr>
        <w:t xml:space="preserve"> for </w:t>
      </w:r>
      <w:proofErr w:type="spellStart"/>
      <w:r w:rsidRPr="00AB1C80">
        <w:rPr>
          <w:rFonts w:eastAsia="Calibri" w:cs="Arial"/>
          <w:szCs w:val="24"/>
        </w:rPr>
        <w:t>improving</w:t>
      </w:r>
      <w:proofErr w:type="spellEnd"/>
      <w:r w:rsidRPr="00AB1C80">
        <w:rPr>
          <w:rFonts w:eastAsia="Calibri" w:cs="Arial"/>
          <w:szCs w:val="24"/>
        </w:rPr>
        <w:t xml:space="preserve"> </w:t>
      </w:r>
      <w:proofErr w:type="spellStart"/>
      <w:r w:rsidRPr="00AB1C80">
        <w:rPr>
          <w:rFonts w:eastAsia="Calibri" w:cs="Arial"/>
          <w:szCs w:val="24"/>
        </w:rPr>
        <w:t>crop</w:t>
      </w:r>
      <w:proofErr w:type="spellEnd"/>
      <w:r w:rsidRPr="00AB1C80">
        <w:rPr>
          <w:rFonts w:eastAsia="Calibri" w:cs="Arial"/>
          <w:szCs w:val="24"/>
        </w:rPr>
        <w:t xml:space="preserve"> </w:t>
      </w:r>
      <w:proofErr w:type="spellStart"/>
      <w:r w:rsidRPr="00AB1C80">
        <w:rPr>
          <w:rFonts w:eastAsia="Calibri" w:cs="Arial"/>
          <w:szCs w:val="24"/>
        </w:rPr>
        <w:t>production</w:t>
      </w:r>
      <w:proofErr w:type="spellEnd"/>
      <w:r w:rsidRPr="00AB1C80">
        <w:rPr>
          <w:rFonts w:eastAsia="Calibri" w:cs="Arial"/>
          <w:szCs w:val="24"/>
        </w:rPr>
        <w:t xml:space="preserve">—a </w:t>
      </w:r>
      <w:proofErr w:type="spellStart"/>
      <w:r w:rsidRPr="00AB1C80">
        <w:rPr>
          <w:rFonts w:eastAsia="Calibri" w:cs="Arial"/>
          <w:szCs w:val="24"/>
        </w:rPr>
        <w:t>review</w:t>
      </w:r>
      <w:proofErr w:type="spellEnd"/>
      <w:r w:rsidRPr="00AB1C80">
        <w:rPr>
          <w:rFonts w:eastAsia="Calibri" w:cs="Arial"/>
          <w:szCs w:val="24"/>
        </w:rPr>
        <w:t xml:space="preserve">. </w:t>
      </w:r>
      <w:r w:rsidRPr="00AB1C80">
        <w:rPr>
          <w:rFonts w:eastAsia="Times New Roman" w:cs="Arial"/>
          <w:color w:val="202124"/>
          <w:szCs w:val="24"/>
          <w:lang w:eastAsia="es-CO"/>
        </w:rPr>
        <w:t xml:space="preserve">Publicado por Elsevier </w:t>
      </w:r>
      <w:proofErr w:type="spellStart"/>
      <w:r w:rsidRPr="00AB1C80">
        <w:rPr>
          <w:rFonts w:eastAsia="Times New Roman" w:cs="Arial"/>
          <w:color w:val="202124"/>
          <w:szCs w:val="24"/>
          <w:lang w:eastAsia="es-CO"/>
        </w:rPr>
        <w:t>Ltd</w:t>
      </w:r>
      <w:proofErr w:type="spellEnd"/>
      <w:r w:rsidRPr="00AB1C80">
        <w:rPr>
          <w:rFonts w:eastAsia="Times New Roman" w:cs="Arial"/>
          <w:color w:val="202124"/>
          <w:szCs w:val="24"/>
          <w:lang w:eastAsia="es-CO"/>
        </w:rPr>
        <w:t>, 2004</w:t>
      </w:r>
    </w:p>
    <w:p w14:paraId="6AC125BD" w14:textId="77777777" w:rsidR="00F3736B" w:rsidRPr="00AB1C80" w:rsidRDefault="00F3736B" w:rsidP="00AB1C80">
      <w:pPr>
        <w:pStyle w:val="Prrafodelista"/>
        <w:numPr>
          <w:ilvl w:val="0"/>
          <w:numId w:val="19"/>
        </w:numPr>
        <w:spacing w:line="276" w:lineRule="auto"/>
        <w:ind w:left="284" w:hanging="284"/>
        <w:rPr>
          <w:rFonts w:eastAsia="Calibri" w:cs="Arial"/>
          <w:szCs w:val="24"/>
        </w:rPr>
      </w:pPr>
      <w:r w:rsidRPr="00AB1C80">
        <w:rPr>
          <w:rFonts w:eastAsia="Calibri" w:cs="Arial"/>
          <w:szCs w:val="24"/>
        </w:rPr>
        <w:t xml:space="preserve">V A Knysh. </w:t>
      </w:r>
      <w:proofErr w:type="spellStart"/>
      <w:r w:rsidRPr="00AB1C80">
        <w:rPr>
          <w:rFonts w:eastAsia="Calibri" w:cs="Arial"/>
          <w:szCs w:val="24"/>
        </w:rPr>
        <w:t>Problematic</w:t>
      </w:r>
      <w:proofErr w:type="spellEnd"/>
      <w:r w:rsidRPr="00AB1C80">
        <w:rPr>
          <w:rFonts w:eastAsia="Calibri" w:cs="Arial"/>
          <w:szCs w:val="24"/>
        </w:rPr>
        <w:t xml:space="preserve"> </w:t>
      </w:r>
      <w:proofErr w:type="spellStart"/>
      <w:r w:rsidRPr="00AB1C80">
        <w:rPr>
          <w:rFonts w:eastAsia="Calibri" w:cs="Arial"/>
          <w:szCs w:val="24"/>
        </w:rPr>
        <w:t>aspects</w:t>
      </w:r>
      <w:proofErr w:type="spellEnd"/>
      <w:r w:rsidRPr="00AB1C80">
        <w:rPr>
          <w:rFonts w:eastAsia="Calibri" w:cs="Arial"/>
          <w:szCs w:val="24"/>
        </w:rPr>
        <w:t xml:space="preserve"> and </w:t>
      </w:r>
      <w:proofErr w:type="spellStart"/>
      <w:r w:rsidRPr="00AB1C80">
        <w:rPr>
          <w:rFonts w:eastAsia="Calibri" w:cs="Arial"/>
          <w:szCs w:val="24"/>
        </w:rPr>
        <w:t>potentialities</w:t>
      </w:r>
      <w:proofErr w:type="spellEnd"/>
      <w:r w:rsidRPr="00AB1C80">
        <w:rPr>
          <w:rFonts w:eastAsia="Calibri" w:cs="Arial"/>
          <w:szCs w:val="24"/>
        </w:rPr>
        <w:t xml:space="preserve"> </w:t>
      </w:r>
      <w:proofErr w:type="spellStart"/>
      <w:r w:rsidRPr="00AB1C80">
        <w:rPr>
          <w:rFonts w:eastAsia="Calibri" w:cs="Arial"/>
          <w:szCs w:val="24"/>
        </w:rPr>
        <w:t>of</w:t>
      </w:r>
      <w:proofErr w:type="spellEnd"/>
      <w:r w:rsidRPr="00AB1C80">
        <w:rPr>
          <w:rFonts w:eastAsia="Calibri" w:cs="Arial"/>
          <w:szCs w:val="24"/>
        </w:rPr>
        <w:t xml:space="preserve"> </w:t>
      </w:r>
      <w:proofErr w:type="spellStart"/>
      <w:r w:rsidRPr="00AB1C80">
        <w:rPr>
          <w:rFonts w:eastAsia="Calibri" w:cs="Arial"/>
          <w:szCs w:val="24"/>
        </w:rPr>
        <w:t>applying</w:t>
      </w:r>
      <w:proofErr w:type="spellEnd"/>
      <w:r w:rsidRPr="00AB1C80">
        <w:rPr>
          <w:rFonts w:eastAsia="Calibri" w:cs="Arial"/>
          <w:szCs w:val="24"/>
        </w:rPr>
        <w:t xml:space="preserve"> the </w:t>
      </w:r>
      <w:proofErr w:type="spellStart"/>
      <w:r w:rsidRPr="00AB1C80">
        <w:rPr>
          <w:rFonts w:eastAsia="Calibri" w:cs="Arial"/>
          <w:szCs w:val="24"/>
        </w:rPr>
        <w:t>principles</w:t>
      </w:r>
      <w:proofErr w:type="spellEnd"/>
      <w:r w:rsidRPr="00AB1C80">
        <w:rPr>
          <w:rFonts w:eastAsia="Calibri" w:cs="Arial"/>
          <w:szCs w:val="24"/>
        </w:rPr>
        <w:t xml:space="preserve"> </w:t>
      </w:r>
      <w:proofErr w:type="spellStart"/>
      <w:r w:rsidRPr="00AB1C80">
        <w:rPr>
          <w:rFonts w:eastAsia="Calibri" w:cs="Arial"/>
          <w:szCs w:val="24"/>
        </w:rPr>
        <w:t>of</w:t>
      </w:r>
      <w:proofErr w:type="spellEnd"/>
      <w:r w:rsidRPr="00AB1C80">
        <w:rPr>
          <w:rFonts w:eastAsia="Calibri" w:cs="Arial"/>
          <w:szCs w:val="24"/>
        </w:rPr>
        <w:t xml:space="preserve"> a circular economy in the </w:t>
      </w:r>
      <w:proofErr w:type="spellStart"/>
      <w:r w:rsidRPr="00AB1C80">
        <w:rPr>
          <w:rFonts w:eastAsia="Calibri" w:cs="Arial"/>
          <w:szCs w:val="24"/>
        </w:rPr>
        <w:t>mining</w:t>
      </w:r>
      <w:proofErr w:type="spellEnd"/>
      <w:r w:rsidRPr="00AB1C80">
        <w:rPr>
          <w:rFonts w:eastAsia="Calibri" w:cs="Arial"/>
          <w:szCs w:val="24"/>
        </w:rPr>
        <w:t xml:space="preserve"> </w:t>
      </w:r>
      <w:proofErr w:type="spellStart"/>
      <w:r w:rsidRPr="00AB1C80">
        <w:rPr>
          <w:rFonts w:eastAsia="Calibri" w:cs="Arial"/>
          <w:szCs w:val="24"/>
        </w:rPr>
        <w:t>industry</w:t>
      </w:r>
      <w:proofErr w:type="spellEnd"/>
      <w:r w:rsidRPr="00AB1C80">
        <w:rPr>
          <w:rFonts w:eastAsia="Calibri" w:cs="Arial"/>
          <w:szCs w:val="24"/>
        </w:rPr>
        <w:t>. IOP Conference Series: Earth and Environmental Science, 2020.</w:t>
      </w:r>
    </w:p>
    <w:p w14:paraId="0ED1ACCA" w14:textId="50DA0EED" w:rsidR="00F3736B" w:rsidRPr="00AB1C80" w:rsidRDefault="00F3736B" w:rsidP="00AB1C80">
      <w:pPr>
        <w:pStyle w:val="Prrafodelista"/>
        <w:numPr>
          <w:ilvl w:val="0"/>
          <w:numId w:val="19"/>
        </w:numPr>
        <w:spacing w:line="276" w:lineRule="auto"/>
        <w:ind w:left="284" w:hanging="284"/>
        <w:rPr>
          <w:rFonts w:eastAsia="Calibri" w:cs="Arial"/>
          <w:szCs w:val="24"/>
        </w:rPr>
      </w:pPr>
      <w:proofErr w:type="spellStart"/>
      <w:r w:rsidRPr="00AB1C80">
        <w:rPr>
          <w:rFonts w:eastAsia="Calibri" w:cs="Arial"/>
          <w:szCs w:val="24"/>
        </w:rPr>
        <w:lastRenderedPageBreak/>
        <w:t>Yiqing</w:t>
      </w:r>
      <w:proofErr w:type="spellEnd"/>
      <w:r w:rsidRPr="00AB1C80">
        <w:rPr>
          <w:rFonts w:eastAsia="Calibri" w:cs="Arial"/>
          <w:szCs w:val="24"/>
        </w:rPr>
        <w:t xml:space="preserve"> </w:t>
      </w:r>
      <w:proofErr w:type="spellStart"/>
      <w:r w:rsidRPr="00AB1C80">
        <w:rPr>
          <w:rFonts w:eastAsia="Calibri" w:cs="Arial"/>
          <w:szCs w:val="24"/>
        </w:rPr>
        <w:t>Zhaoa</w:t>
      </w:r>
      <w:proofErr w:type="spellEnd"/>
      <w:r w:rsidRPr="00AB1C80">
        <w:rPr>
          <w:rFonts w:eastAsia="Calibri" w:cs="Arial"/>
          <w:szCs w:val="24"/>
        </w:rPr>
        <w:t xml:space="preserve">, Li Zanga, </w:t>
      </w:r>
      <w:proofErr w:type="spellStart"/>
      <w:r w:rsidRPr="00AB1C80">
        <w:rPr>
          <w:rFonts w:eastAsia="Calibri" w:cs="Arial"/>
          <w:szCs w:val="24"/>
        </w:rPr>
        <w:t>Zhongxue</w:t>
      </w:r>
      <w:proofErr w:type="spellEnd"/>
      <w:r w:rsidRPr="00AB1C80">
        <w:rPr>
          <w:rFonts w:eastAsia="Calibri" w:cs="Arial"/>
          <w:szCs w:val="24"/>
        </w:rPr>
        <w:t xml:space="preserve"> </w:t>
      </w:r>
      <w:proofErr w:type="spellStart"/>
      <w:r w:rsidRPr="00AB1C80">
        <w:rPr>
          <w:rFonts w:eastAsia="Calibri" w:cs="Arial"/>
          <w:szCs w:val="24"/>
        </w:rPr>
        <w:t>Lia</w:t>
      </w:r>
      <w:proofErr w:type="spellEnd"/>
      <w:r w:rsidRPr="00AB1C80">
        <w:rPr>
          <w:rFonts w:eastAsia="Calibri" w:cs="Arial"/>
          <w:szCs w:val="24"/>
        </w:rPr>
        <w:t xml:space="preserve">, </w:t>
      </w:r>
      <w:proofErr w:type="spellStart"/>
      <w:r w:rsidRPr="00AB1C80">
        <w:rPr>
          <w:rFonts w:eastAsia="Calibri" w:cs="Arial"/>
          <w:szCs w:val="24"/>
        </w:rPr>
        <w:t>Jiexuan</w:t>
      </w:r>
      <w:proofErr w:type="spellEnd"/>
      <w:r w:rsidRPr="00AB1C80">
        <w:rPr>
          <w:rFonts w:eastAsia="Calibri" w:cs="Arial"/>
          <w:szCs w:val="24"/>
        </w:rPr>
        <w:t xml:space="preserve"> </w:t>
      </w:r>
      <w:proofErr w:type="spellStart"/>
      <w:r w:rsidR="00A54D0A" w:rsidRPr="00AB1C80">
        <w:rPr>
          <w:rFonts w:eastAsia="Calibri" w:cs="Arial"/>
          <w:szCs w:val="24"/>
        </w:rPr>
        <w:t>Qina</w:t>
      </w:r>
      <w:proofErr w:type="spellEnd"/>
      <w:r w:rsidR="00A54D0A" w:rsidRPr="00AB1C80">
        <w:rPr>
          <w:rFonts w:eastAsia="Calibri" w:cs="Arial"/>
          <w:szCs w:val="24"/>
        </w:rPr>
        <w:t>.</w:t>
      </w:r>
      <w:r w:rsidRPr="00AB1C80">
        <w:rPr>
          <w:rFonts w:eastAsia="Times New Roman" w:cs="Arial"/>
          <w:color w:val="000000"/>
          <w:szCs w:val="24"/>
        </w:rPr>
        <w:t xml:space="preserve"> </w:t>
      </w:r>
      <w:r w:rsidRPr="00AB1C80">
        <w:rPr>
          <w:rFonts w:eastAsia="Calibri" w:cs="Arial"/>
          <w:szCs w:val="24"/>
        </w:rPr>
        <w:t>Discusión sobre el modelo de economía circular minera,</w:t>
      </w:r>
      <w:r w:rsidRPr="00AB1C80">
        <w:rPr>
          <w:rFonts w:eastAsia="Times New Roman" w:cs="Arial"/>
          <w:color w:val="000000"/>
          <w:szCs w:val="24"/>
        </w:rPr>
        <w:t xml:space="preserve"> 2012.</w:t>
      </w:r>
    </w:p>
    <w:p w14:paraId="31911386" w14:textId="77777777" w:rsidR="00F3736B" w:rsidRPr="00AB1C80" w:rsidRDefault="00F3736B" w:rsidP="00AB1C80">
      <w:pPr>
        <w:pStyle w:val="Prrafodelista"/>
        <w:spacing w:line="276" w:lineRule="auto"/>
        <w:ind w:left="284"/>
        <w:rPr>
          <w:rFonts w:cs="Arial"/>
        </w:rPr>
      </w:pPr>
    </w:p>
    <w:p w14:paraId="6B7E9A7C" w14:textId="77777777" w:rsidR="00EC1D7A" w:rsidRPr="00AB1C80" w:rsidRDefault="00EC1D7A" w:rsidP="00AB1C80">
      <w:pPr>
        <w:spacing w:line="276" w:lineRule="auto"/>
        <w:rPr>
          <w:rFonts w:cs="Arial"/>
        </w:rPr>
      </w:pPr>
    </w:p>
    <w:sectPr w:rsidR="00EC1D7A" w:rsidRPr="00AB1C80" w:rsidSect="00A93FC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EB818" w14:textId="77777777" w:rsidR="00563C81" w:rsidRDefault="00563C81" w:rsidP="00146084">
      <w:r>
        <w:separator/>
      </w:r>
    </w:p>
  </w:endnote>
  <w:endnote w:type="continuationSeparator" w:id="0">
    <w:p w14:paraId="2268C78E" w14:textId="77777777" w:rsidR="00563C81" w:rsidRDefault="00563C81" w:rsidP="00146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Arial Negrita">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Arial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B9D96" w14:textId="77777777" w:rsidR="00563C81" w:rsidRDefault="00563C81" w:rsidP="00146084">
      <w:r>
        <w:separator/>
      </w:r>
    </w:p>
  </w:footnote>
  <w:footnote w:type="continuationSeparator" w:id="0">
    <w:p w14:paraId="70ADDF7F" w14:textId="77777777" w:rsidR="00563C81" w:rsidRDefault="00563C81" w:rsidP="00146084">
      <w:r>
        <w:continuationSeparator/>
      </w:r>
    </w:p>
  </w:footnote>
  <w:footnote w:id="1">
    <w:p w14:paraId="72A79223" w14:textId="36613DEB"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2">
    <w:p w14:paraId="03F8511A"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3">
    <w:p w14:paraId="46F68722"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4">
    <w:p w14:paraId="0A4D6EAB"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5">
    <w:p w14:paraId="7DB9295A"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6">
    <w:p w14:paraId="60D15DD6"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7">
    <w:p w14:paraId="22863A15"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8">
    <w:p w14:paraId="4640C555" w14:textId="77777777" w:rsidR="0077297D" w:rsidRPr="00A45E5F" w:rsidRDefault="0077297D" w:rsidP="0077297D">
      <w:pPr>
        <w:pStyle w:val="Textonotapie"/>
        <w:rPr>
          <w:sz w:val="16"/>
          <w:szCs w:val="16"/>
          <w:lang w:val="es-ES"/>
        </w:rPr>
      </w:pPr>
      <w:r w:rsidRPr="00A45E5F">
        <w:rPr>
          <w:rStyle w:val="Refdenotaalpie"/>
          <w:sz w:val="16"/>
          <w:szCs w:val="16"/>
        </w:rPr>
        <w:footnoteRef/>
      </w:r>
      <w:r w:rsidRPr="00A45E5F">
        <w:rPr>
          <w:sz w:val="16"/>
          <w:szCs w:val="16"/>
        </w:rPr>
        <w:t xml:space="preserve"> </w:t>
      </w:r>
      <w:r>
        <w:rPr>
          <w:sz w:val="16"/>
          <w:szCs w:val="16"/>
        </w:rPr>
        <w:t>Ministerio de Minas y Energía</w:t>
      </w:r>
      <w:r w:rsidRPr="00A45E5F">
        <w:rPr>
          <w:sz w:val="16"/>
          <w:szCs w:val="16"/>
        </w:rPr>
        <w:t xml:space="preserve">, </w:t>
      </w:r>
      <w:r>
        <w:rPr>
          <w:sz w:val="16"/>
          <w:szCs w:val="16"/>
        </w:rPr>
        <w:t>Resolución 40599</w:t>
      </w:r>
      <w:r w:rsidRPr="00A45E5F">
        <w:rPr>
          <w:sz w:val="16"/>
          <w:szCs w:val="16"/>
        </w:rPr>
        <w:t xml:space="preserve"> 201</w:t>
      </w:r>
      <w:r>
        <w:rPr>
          <w:sz w:val="16"/>
          <w:szCs w:val="16"/>
        </w:rPr>
        <w:t>5</w:t>
      </w:r>
      <w:r w:rsidRPr="00A45E5F">
        <w:rPr>
          <w:sz w:val="16"/>
          <w:szCs w:val="16"/>
        </w:rPr>
        <w:t xml:space="preserve"> </w:t>
      </w:r>
      <w:r>
        <w:rPr>
          <w:sz w:val="16"/>
          <w:szCs w:val="16"/>
        </w:rPr>
        <w:t>Glosario Técnico Minero</w:t>
      </w:r>
    </w:p>
  </w:footnote>
  <w:footnote w:id="9">
    <w:p w14:paraId="7E5D2BF6" w14:textId="23C63EBA"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Naciones Unidas, Sistema de Contabilidad Ambiental y Económica (SCAE) 2012 Marco Central</w:t>
      </w:r>
    </w:p>
  </w:footnote>
  <w:footnote w:id="10">
    <w:p w14:paraId="3B612440" w14:textId="06C35F01"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1">
    <w:p w14:paraId="5F56C663" w14:textId="1E24CA6F" w:rsidR="00A25153" w:rsidRPr="00A45E5F" w:rsidRDefault="00A25153" w:rsidP="00A25153">
      <w:pPr>
        <w:pStyle w:val="Textonotapie"/>
        <w:rPr>
          <w:sz w:val="16"/>
          <w:szCs w:val="16"/>
          <w:lang w:val="es-ES"/>
        </w:rPr>
      </w:pPr>
      <w:r w:rsidRPr="00A45E5F">
        <w:rPr>
          <w:rStyle w:val="Refdenotaalpie"/>
          <w:sz w:val="16"/>
          <w:szCs w:val="16"/>
        </w:rPr>
        <w:footnoteRef/>
      </w:r>
      <w:r w:rsidRPr="00A45E5F">
        <w:rPr>
          <w:sz w:val="16"/>
          <w:szCs w:val="16"/>
        </w:rPr>
        <w:t xml:space="preserve"> </w:t>
      </w:r>
      <w:r w:rsidRPr="00A25153">
        <w:rPr>
          <w:sz w:val="16"/>
          <w:szCs w:val="16"/>
        </w:rPr>
        <w:t>Comber, Nicole; Federico, María Victoria; Moriena, Nicole (2013), Basura Cero en Buenos Aires</w:t>
      </w:r>
    </w:p>
  </w:footnote>
  <w:footnote w:id="12">
    <w:p w14:paraId="17B7E1C2" w14:textId="77777777"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3">
    <w:p w14:paraId="443C51F1" w14:textId="4A99C580"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Chatham House (2020)</w:t>
      </w:r>
      <w:r w:rsidR="00AC0545">
        <w:rPr>
          <w:sz w:val="16"/>
          <w:szCs w:val="16"/>
        </w:rPr>
        <w:t xml:space="preserve"> </w:t>
      </w:r>
      <w:r w:rsidRPr="00A45E5F">
        <w:rPr>
          <w:sz w:val="16"/>
          <w:szCs w:val="16"/>
        </w:rPr>
        <w:t xml:space="preserve">The circular economy in Latin America and the Caribbean. </w:t>
      </w:r>
    </w:p>
  </w:footnote>
  <w:footnote w:id="14">
    <w:p w14:paraId="6DC88383" w14:textId="77777777" w:rsidR="009D00F7" w:rsidRPr="00D16DAA" w:rsidRDefault="009D00F7" w:rsidP="009D00F7">
      <w:pPr>
        <w:pStyle w:val="Textonotapie"/>
        <w:rPr>
          <w:lang w:val="es-ES"/>
        </w:rPr>
      </w:pPr>
      <w:r>
        <w:rPr>
          <w:rStyle w:val="Refdenotaalpie"/>
        </w:rPr>
        <w:footnoteRef/>
      </w:r>
      <w:r>
        <w:t xml:space="preserve"> </w:t>
      </w:r>
      <w:r>
        <w:rPr>
          <w:sz w:val="16"/>
          <w:szCs w:val="16"/>
        </w:rPr>
        <w:t xml:space="preserve">Secretaría Distrital de Ambiente, Bogotá (2020). </w:t>
      </w:r>
      <w:r w:rsidRPr="00291366">
        <w:rPr>
          <w:sz w:val="16"/>
          <w:szCs w:val="16"/>
        </w:rPr>
        <w:t>Guía Distrital para la transición hacia modelos de negocio circular</w:t>
      </w:r>
      <w:r>
        <w:rPr>
          <w:sz w:val="16"/>
          <w:szCs w:val="16"/>
        </w:rPr>
        <w:t>.</w:t>
      </w:r>
    </w:p>
  </w:footnote>
  <w:footnote w:id="15">
    <w:p w14:paraId="7A704BF1" w14:textId="77777777"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6">
    <w:p w14:paraId="7482BB43" w14:textId="77777777" w:rsidR="004834B6" w:rsidRPr="00D16DAA" w:rsidRDefault="004834B6" w:rsidP="004834B6">
      <w:pPr>
        <w:pStyle w:val="Textonotapie"/>
        <w:rPr>
          <w:lang w:val="es-ES"/>
        </w:rPr>
      </w:pPr>
      <w:r w:rsidRPr="00A45E5F">
        <w:rPr>
          <w:rStyle w:val="Refdenotaalpie"/>
          <w:sz w:val="16"/>
          <w:szCs w:val="16"/>
        </w:rPr>
        <w:footnoteRef/>
      </w:r>
      <w:r w:rsidRPr="00A45E5F">
        <w:rPr>
          <w:sz w:val="16"/>
          <w:szCs w:val="16"/>
        </w:rPr>
        <w:t xml:space="preserve"> Secretaría Distrital de Ambiente, Bogotá (2020). Guía Distrital para la transición hacia modelos de negocio circular.</w:t>
      </w:r>
    </w:p>
  </w:footnote>
  <w:footnote w:id="17">
    <w:p w14:paraId="4316D24D" w14:textId="77777777" w:rsidR="00A45E5F" w:rsidRPr="00A45E5F" w:rsidRDefault="00A45E5F" w:rsidP="00DF2F0E">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8">
    <w:p w14:paraId="1CC1794F" w14:textId="77777777" w:rsidR="00A45E5F" w:rsidRPr="00E41E12" w:rsidRDefault="00A45E5F" w:rsidP="00DF2F0E">
      <w:pPr>
        <w:pStyle w:val="Textonotapie"/>
        <w:rPr>
          <w:sz w:val="16"/>
          <w:szCs w:val="16"/>
          <w:lang w:val="es-ES"/>
        </w:rPr>
      </w:pPr>
      <w:r w:rsidRPr="00E41E12">
        <w:rPr>
          <w:rStyle w:val="Refdenotaalpie"/>
          <w:sz w:val="16"/>
          <w:szCs w:val="16"/>
        </w:rPr>
        <w:footnoteRef/>
      </w:r>
      <w:r w:rsidRPr="00E41E12">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19">
    <w:p w14:paraId="2F6D63C0" w14:textId="5AC6DEB3" w:rsidR="00325D8C" w:rsidRPr="00E41E12" w:rsidRDefault="00325D8C" w:rsidP="00DF2F0E">
      <w:pPr>
        <w:pStyle w:val="Textonotapie"/>
        <w:rPr>
          <w:sz w:val="16"/>
          <w:szCs w:val="16"/>
          <w:lang w:val="es-MX"/>
        </w:rPr>
      </w:pPr>
      <w:r w:rsidRPr="00E41E12">
        <w:rPr>
          <w:rStyle w:val="Refdenotaalpie"/>
          <w:sz w:val="16"/>
          <w:szCs w:val="16"/>
        </w:rPr>
        <w:footnoteRef/>
      </w:r>
      <w:r w:rsidRPr="00E41E12">
        <w:rPr>
          <w:sz w:val="16"/>
          <w:szCs w:val="16"/>
        </w:rPr>
        <w:t xml:space="preserve"> </w:t>
      </w:r>
      <w:r w:rsidRPr="00E41E12">
        <w:rPr>
          <w:sz w:val="16"/>
          <w:szCs w:val="16"/>
          <w:lang w:val="es-MX"/>
        </w:rPr>
        <w:t>Fundación Ellen MacArthur (2019)</w:t>
      </w:r>
    </w:p>
  </w:footnote>
  <w:footnote w:id="20">
    <w:p w14:paraId="2D8E9EFA" w14:textId="755A179E" w:rsidR="00441708" w:rsidRPr="00E41E12" w:rsidRDefault="00441708" w:rsidP="00DF2F0E">
      <w:pPr>
        <w:pStyle w:val="Textonotapie"/>
        <w:rPr>
          <w:sz w:val="16"/>
          <w:szCs w:val="16"/>
          <w:lang w:val="es-ES"/>
        </w:rPr>
      </w:pPr>
      <w:r w:rsidRPr="00E41E12">
        <w:rPr>
          <w:rStyle w:val="Refdenotaalpie"/>
          <w:sz w:val="16"/>
          <w:szCs w:val="16"/>
        </w:rPr>
        <w:footnoteRef/>
      </w:r>
      <w:r w:rsidRPr="00E41E12">
        <w:rPr>
          <w:sz w:val="16"/>
          <w:szCs w:val="16"/>
        </w:rPr>
        <w:t xml:space="preserve"> Ministerio de Ambiente y Desarrollo Sostenible, </w:t>
      </w:r>
      <w:r w:rsidR="00717C80" w:rsidRPr="00E41E12">
        <w:rPr>
          <w:sz w:val="16"/>
          <w:szCs w:val="16"/>
        </w:rPr>
        <w:t>Departamento Administrativo Nacional de Estadística (2018).</w:t>
      </w:r>
    </w:p>
  </w:footnote>
  <w:footnote w:id="21">
    <w:p w14:paraId="3E8EA5D7" w14:textId="77777777" w:rsidR="00B35A44" w:rsidRPr="00E41E12" w:rsidRDefault="00B35A44" w:rsidP="00DF2F0E">
      <w:pPr>
        <w:pStyle w:val="Textonotapie"/>
        <w:rPr>
          <w:sz w:val="16"/>
          <w:szCs w:val="16"/>
          <w:lang w:val="es-ES"/>
        </w:rPr>
      </w:pPr>
      <w:r w:rsidRPr="00E41E12">
        <w:rPr>
          <w:rStyle w:val="Refdenotaalpie"/>
          <w:sz w:val="16"/>
          <w:szCs w:val="16"/>
        </w:rPr>
        <w:footnoteRef/>
      </w:r>
      <w:r w:rsidRPr="00E41E12">
        <w:rPr>
          <w:sz w:val="16"/>
          <w:szCs w:val="16"/>
        </w:rPr>
        <w:t xml:space="preserve"> Secretaría Distrital de Ambiente, Bogotá (2020). Guía Distrital para la transición hacia modelos de negocio circular.</w:t>
      </w:r>
    </w:p>
  </w:footnote>
  <w:footnote w:id="22">
    <w:p w14:paraId="5D41EC41" w14:textId="54ABF540" w:rsidR="00E41E12" w:rsidRPr="00E41E12" w:rsidRDefault="00E41E12" w:rsidP="00DF2F0E">
      <w:pPr>
        <w:pStyle w:val="Textonotapie"/>
        <w:rPr>
          <w:sz w:val="16"/>
          <w:szCs w:val="16"/>
          <w:lang w:val="es-ES"/>
        </w:rPr>
      </w:pPr>
      <w:r w:rsidRPr="00E41E12">
        <w:rPr>
          <w:rStyle w:val="Refdenotaalpie"/>
          <w:sz w:val="16"/>
          <w:szCs w:val="16"/>
        </w:rPr>
        <w:footnoteRef/>
      </w:r>
      <w:r w:rsidRPr="00E41E12">
        <w:rPr>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23">
    <w:p w14:paraId="51BABB71" w14:textId="77777777" w:rsidR="004834B6" w:rsidRPr="00E41E12" w:rsidRDefault="004834B6" w:rsidP="00DF2F0E">
      <w:pPr>
        <w:pStyle w:val="Textonotapie"/>
        <w:rPr>
          <w:sz w:val="16"/>
          <w:szCs w:val="16"/>
          <w:lang w:val="es-ES"/>
        </w:rPr>
      </w:pPr>
      <w:r w:rsidRPr="00E41E12">
        <w:rPr>
          <w:rStyle w:val="Refdenotaalpie"/>
          <w:sz w:val="16"/>
          <w:szCs w:val="16"/>
        </w:rPr>
        <w:footnoteRef/>
      </w:r>
      <w:r w:rsidRPr="00E41E12">
        <w:rPr>
          <w:sz w:val="16"/>
          <w:szCs w:val="16"/>
        </w:rPr>
        <w:t xml:space="preserve"> Naciones Unidas, Sistema de Contabilidad Ambiental y Económica (SCAE) 2012 Marco Central</w:t>
      </w:r>
    </w:p>
  </w:footnote>
  <w:footnote w:id="24">
    <w:p w14:paraId="2BF787C9" w14:textId="77777777" w:rsidR="00A45E5F" w:rsidRPr="00A45E5F" w:rsidRDefault="00A45E5F" w:rsidP="00A45E5F">
      <w:pPr>
        <w:pStyle w:val="Textonotapie"/>
        <w:rPr>
          <w:sz w:val="16"/>
          <w:szCs w:val="16"/>
          <w:lang w:val="es-ES"/>
        </w:rPr>
      </w:pPr>
      <w:r w:rsidRPr="00E41E12">
        <w:rPr>
          <w:rStyle w:val="Refdenotaalpie"/>
          <w:sz w:val="16"/>
          <w:szCs w:val="16"/>
        </w:rPr>
        <w:footnoteRef/>
      </w:r>
      <w:r w:rsidRPr="00E41E12">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5">
    <w:p w14:paraId="41F86970" w14:textId="77777777" w:rsidR="00A45E5F" w:rsidRPr="009910DA" w:rsidRDefault="00A45E5F" w:rsidP="00A45E5F">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6">
    <w:p w14:paraId="11DCAD6A" w14:textId="680C4AA5" w:rsidR="009910DA" w:rsidRPr="009910DA" w:rsidRDefault="009910DA" w:rsidP="009910DA">
      <w:pPr>
        <w:pStyle w:val="Textonotapie"/>
        <w:rPr>
          <w:sz w:val="16"/>
          <w:szCs w:val="16"/>
          <w:lang w:val="es-ES"/>
        </w:rPr>
      </w:pPr>
      <w:r w:rsidRPr="009910DA">
        <w:rPr>
          <w:rStyle w:val="Refdenotaalpie"/>
          <w:sz w:val="16"/>
          <w:szCs w:val="16"/>
        </w:rPr>
        <w:footnoteRef/>
      </w:r>
      <w:r w:rsidRPr="009910DA">
        <w:rPr>
          <w:sz w:val="16"/>
          <w:szCs w:val="16"/>
        </w:rPr>
        <w:t xml:space="preserve"> UPME- UIS. Realizar un análisis del potencial de reutilización de minerales en Colombia y definir estrategias orientadas a fomentar su aprovechamiento por parte de la industria en el país bajo el enfoque de economía circular, contrato interadministrativo CI-049-2018, 2018.</w:t>
      </w:r>
    </w:p>
  </w:footnote>
  <w:footnote w:id="27">
    <w:p w14:paraId="0E60102D" w14:textId="1847C12C" w:rsidR="00185F17" w:rsidRPr="009910DA" w:rsidRDefault="00185F17" w:rsidP="00185F17">
      <w:pPr>
        <w:pStyle w:val="Textonotapie"/>
        <w:rPr>
          <w:sz w:val="16"/>
          <w:szCs w:val="16"/>
          <w:lang w:val="es-ES"/>
        </w:rPr>
      </w:pPr>
      <w:r w:rsidRPr="009910DA">
        <w:rPr>
          <w:rStyle w:val="Refdenotaalpie"/>
          <w:sz w:val="16"/>
          <w:szCs w:val="16"/>
        </w:rPr>
        <w:footnoteRef/>
      </w:r>
      <w:r w:rsidRPr="009910DA">
        <w:rPr>
          <w:sz w:val="16"/>
          <w:szCs w:val="16"/>
        </w:rPr>
        <w:t xml:space="preserve"> </w:t>
      </w:r>
      <w:r w:rsidRPr="00185F17">
        <w:rPr>
          <w:sz w:val="16"/>
          <w:szCs w:val="16"/>
        </w:rPr>
        <w:t>https://www1.undp.org/content/undp/es/home/sustainable-development-goals.html</w:t>
      </w:r>
    </w:p>
  </w:footnote>
  <w:footnote w:id="28">
    <w:p w14:paraId="2C82F01D" w14:textId="77777777" w:rsidR="00A45E5F" w:rsidRPr="009910DA" w:rsidRDefault="00A45E5F" w:rsidP="00A45E5F">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29">
    <w:p w14:paraId="6A1018E0" w14:textId="77777777" w:rsidR="00A45E5F" w:rsidRPr="009910DA" w:rsidRDefault="00A45E5F" w:rsidP="00A45E5F">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0">
    <w:p w14:paraId="587DFA39" w14:textId="77777777" w:rsidR="00A45E5F" w:rsidRPr="009910DA" w:rsidRDefault="00A45E5F" w:rsidP="00A45E5F">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1">
    <w:p w14:paraId="02CA49F0" w14:textId="77777777" w:rsidR="00E40B48" w:rsidRPr="00D16DAA" w:rsidRDefault="00E40B48" w:rsidP="00E40B48">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32">
    <w:p w14:paraId="32BA7F28" w14:textId="77777777" w:rsidR="00E45A26" w:rsidRPr="009910DA" w:rsidRDefault="00E45A26" w:rsidP="00E45A26">
      <w:pPr>
        <w:pStyle w:val="Textonotapie"/>
        <w:rPr>
          <w:sz w:val="16"/>
          <w:szCs w:val="16"/>
          <w:lang w:val="es-ES"/>
        </w:rPr>
      </w:pPr>
      <w:r w:rsidRPr="009910DA">
        <w:rPr>
          <w:rStyle w:val="Refdenotaalpie"/>
          <w:sz w:val="16"/>
          <w:szCs w:val="16"/>
        </w:rPr>
        <w:footnoteRef/>
      </w:r>
      <w:r w:rsidRPr="009910DA">
        <w:rPr>
          <w:sz w:val="16"/>
          <w:szCs w:val="16"/>
        </w:rPr>
        <w:t xml:space="preserve"> </w:t>
      </w:r>
      <w:r w:rsidRPr="002C0ABF">
        <w:rPr>
          <w:sz w:val="16"/>
          <w:szCs w:val="16"/>
        </w:rPr>
        <w:t>Memorias XII Congreso Internacional de Medio Ambiente. Economía Circular una herramienta para el desarrollo de los ODS. 2019</w:t>
      </w:r>
      <w:r w:rsidRPr="009910DA">
        <w:rPr>
          <w:sz w:val="16"/>
          <w:szCs w:val="16"/>
        </w:rPr>
        <w:t>”</w:t>
      </w:r>
    </w:p>
  </w:footnote>
  <w:footnote w:id="33">
    <w:p w14:paraId="70E15691" w14:textId="77777777" w:rsidR="00A45E5F" w:rsidRPr="009910DA" w:rsidRDefault="00A45E5F" w:rsidP="00A45E5F">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4">
    <w:p w14:paraId="13EAF5A1" w14:textId="77777777" w:rsidR="006637C2" w:rsidRPr="009910DA" w:rsidRDefault="006637C2" w:rsidP="006637C2">
      <w:pPr>
        <w:pStyle w:val="Textonotapie"/>
        <w:rPr>
          <w:sz w:val="16"/>
          <w:szCs w:val="16"/>
          <w:lang w:val="es-ES"/>
        </w:rPr>
      </w:pPr>
      <w:r w:rsidRPr="009910DA">
        <w:rPr>
          <w:rStyle w:val="Refdenotaalpie"/>
          <w:sz w:val="16"/>
          <w:szCs w:val="16"/>
        </w:rPr>
        <w:footnoteRef/>
      </w:r>
      <w:r w:rsidRPr="009910DA">
        <w:rPr>
          <w:sz w:val="16"/>
          <w:szCs w:val="16"/>
        </w:rPr>
        <w:t xml:space="preserve"> </w:t>
      </w:r>
      <w:r w:rsidRPr="000D18A2">
        <w:rPr>
          <w:sz w:val="16"/>
          <w:szCs w:val="16"/>
        </w:rPr>
        <w:t>Decreto 1077 de 2015 “Por medio del cual se expide el Decreto Único Reglamentario del Sector Vivienda, Ciudad y Territorio.”</w:t>
      </w:r>
    </w:p>
  </w:footnote>
  <w:footnote w:id="35">
    <w:p w14:paraId="04397888" w14:textId="32C5D0AD" w:rsidR="002C0ABF" w:rsidRPr="009910DA" w:rsidRDefault="002C0ABF" w:rsidP="002C0ABF">
      <w:pPr>
        <w:pStyle w:val="Textonotapie"/>
        <w:rPr>
          <w:sz w:val="16"/>
          <w:szCs w:val="16"/>
          <w:lang w:val="es-ES"/>
        </w:rPr>
      </w:pPr>
      <w:r w:rsidRPr="009910DA">
        <w:rPr>
          <w:rStyle w:val="Refdenotaalpie"/>
          <w:sz w:val="16"/>
          <w:szCs w:val="16"/>
        </w:rPr>
        <w:footnoteRef/>
      </w:r>
      <w:r w:rsidRPr="009910DA">
        <w:rPr>
          <w:sz w:val="16"/>
          <w:szCs w:val="16"/>
        </w:rPr>
        <w:t xml:space="preserve"> </w:t>
      </w:r>
      <w:r w:rsidRPr="002C0ABF">
        <w:rPr>
          <w:sz w:val="16"/>
          <w:szCs w:val="16"/>
        </w:rPr>
        <w:t>Memorias XII Congreso Internacional de Medio Ambiente. Economía Circular una herramienta para el desarrollo de los ODS. 2019</w:t>
      </w:r>
      <w:r w:rsidRPr="009910DA">
        <w:rPr>
          <w:sz w:val="16"/>
          <w:szCs w:val="16"/>
        </w:rPr>
        <w:t>”</w:t>
      </w:r>
    </w:p>
  </w:footnote>
  <w:footnote w:id="36">
    <w:p w14:paraId="636A9EFF" w14:textId="77777777" w:rsidR="006637C2" w:rsidRPr="00D16DAA" w:rsidRDefault="006637C2" w:rsidP="006637C2">
      <w:pPr>
        <w:pStyle w:val="Textonotapie"/>
        <w:rPr>
          <w:lang w:val="es-ES"/>
        </w:rPr>
      </w:pPr>
      <w:r>
        <w:rPr>
          <w:rStyle w:val="Refdenotaalpie"/>
        </w:rPr>
        <w:footnoteRef/>
      </w:r>
      <w:r>
        <w:t xml:space="preserve"> </w:t>
      </w:r>
      <w:r w:rsidRPr="000D18A2">
        <w:rPr>
          <w:sz w:val="16"/>
          <w:szCs w:val="16"/>
        </w:rPr>
        <w:t>Decreto 1077 de 2015 “Por medio del cual se expide el Decreto Único Reglamentario del Sector Vivienda, Ciudad y Territorio.”</w:t>
      </w:r>
    </w:p>
  </w:footnote>
  <w:footnote w:id="37">
    <w:p w14:paraId="0B6E8AD6" w14:textId="77777777" w:rsidR="00DC2BDC" w:rsidRPr="00A45E5F" w:rsidRDefault="00DC2BDC" w:rsidP="00DC2BDC">
      <w:pPr>
        <w:pStyle w:val="Textonotapie"/>
        <w:rPr>
          <w:sz w:val="16"/>
          <w:szCs w:val="16"/>
          <w:lang w:val="es-ES"/>
        </w:rPr>
      </w:pPr>
      <w:r w:rsidRPr="009910DA">
        <w:rPr>
          <w:rStyle w:val="Refdenotaalpie"/>
          <w:sz w:val="16"/>
          <w:szCs w:val="16"/>
        </w:rPr>
        <w:footnoteRef/>
      </w:r>
      <w:r w:rsidRPr="009910DA">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38">
    <w:p w14:paraId="2AD0F24F" w14:textId="77777777" w:rsidR="00DC2BDC" w:rsidRPr="00D16DAA" w:rsidRDefault="00DC2BDC" w:rsidP="00DC2BDC">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39">
    <w:p w14:paraId="4FF92E53" w14:textId="77777777" w:rsidR="002C0ABF" w:rsidRPr="009910DA" w:rsidRDefault="002C0ABF" w:rsidP="002C0ABF">
      <w:pPr>
        <w:pStyle w:val="Textonotapie"/>
        <w:rPr>
          <w:sz w:val="16"/>
          <w:szCs w:val="16"/>
          <w:lang w:val="es-ES"/>
        </w:rPr>
      </w:pPr>
      <w:r w:rsidRPr="009910DA">
        <w:rPr>
          <w:rStyle w:val="Refdenotaalpie"/>
          <w:sz w:val="16"/>
          <w:szCs w:val="16"/>
        </w:rPr>
        <w:footnoteRef/>
      </w:r>
      <w:r w:rsidRPr="009910DA">
        <w:rPr>
          <w:sz w:val="16"/>
          <w:szCs w:val="16"/>
        </w:rPr>
        <w:t xml:space="preserve"> </w:t>
      </w:r>
      <w:r w:rsidRPr="002C0ABF">
        <w:rPr>
          <w:sz w:val="16"/>
          <w:szCs w:val="16"/>
        </w:rPr>
        <w:t>Memorias XII Congreso Internacional de Medio Ambiente. Economía Circular una herramienta para el desarrollo de los ODS. 2019</w:t>
      </w:r>
      <w:r w:rsidRPr="009910DA">
        <w:rPr>
          <w:sz w:val="16"/>
          <w:szCs w:val="16"/>
        </w:rPr>
        <w:t>”</w:t>
      </w:r>
    </w:p>
  </w:footnote>
  <w:footnote w:id="40">
    <w:p w14:paraId="259EACDC" w14:textId="77777777"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41">
    <w:p w14:paraId="7E128FB0" w14:textId="77777777"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42">
    <w:p w14:paraId="65EA8F6E" w14:textId="77777777" w:rsidR="00A45E5F" w:rsidRPr="00A45E5F" w:rsidRDefault="00A45E5F" w:rsidP="00A45E5F">
      <w:pPr>
        <w:pStyle w:val="Textonotapie"/>
        <w:rPr>
          <w:sz w:val="16"/>
          <w:szCs w:val="16"/>
          <w:lang w:val="es-ES"/>
        </w:rPr>
      </w:pPr>
      <w:r w:rsidRPr="00A45E5F">
        <w:rPr>
          <w:rStyle w:val="Refdenotaalpie"/>
          <w:sz w:val="16"/>
          <w:szCs w:val="16"/>
        </w:rPr>
        <w:footnoteRef/>
      </w:r>
      <w:r w:rsidRPr="00A45E5F">
        <w:rPr>
          <w:sz w:val="16"/>
          <w:szCs w:val="16"/>
        </w:rPr>
        <w:t xml:space="preserve"> Ministerio de Ambiente y Desarrollo Sostenible, Ministerio de Comercio, Industria y Turismo (2019). Estrategia Nacional de Economía Circular “Cierre de ciclos materiales innovación, tecnología, colaboración y nuevos modelos de negocio”.</w:t>
      </w:r>
    </w:p>
  </w:footnote>
  <w:footnote w:id="43">
    <w:p w14:paraId="3B586586" w14:textId="1885F967" w:rsidR="00370BE0" w:rsidRPr="00370BE0" w:rsidRDefault="00370BE0">
      <w:pPr>
        <w:pStyle w:val="Textonotapie"/>
        <w:rPr>
          <w:lang w:val="es-ES"/>
        </w:rPr>
      </w:pPr>
      <w:bookmarkStart w:id="103" w:name="_Hlk86262056"/>
      <w:r>
        <w:rPr>
          <w:rStyle w:val="Refdenotaalpie"/>
        </w:rPr>
        <w:footnoteRef/>
      </w:r>
      <w:r>
        <w:t xml:space="preserve"> </w:t>
      </w:r>
      <w:r>
        <w:rPr>
          <w:sz w:val="18"/>
          <w:szCs w:val="18"/>
        </w:rPr>
        <w:t xml:space="preserve">BORREGAARD, N. Análisis de cuatro aspectos ligados al desarrollo de la actividad: Valorización económica de los impactos ambientales en la minería chilena. En: Ambiente y Desarrollo. </w:t>
      </w:r>
      <w:r w:rsidR="00A84705">
        <w:rPr>
          <w:sz w:val="18"/>
          <w:szCs w:val="18"/>
        </w:rPr>
        <w:t>Vol.</w:t>
      </w:r>
      <w:r>
        <w:rPr>
          <w:sz w:val="18"/>
          <w:szCs w:val="18"/>
        </w:rPr>
        <w:t xml:space="preserve"> 17. 2001. p. 50-58. </w:t>
      </w:r>
      <w:bookmarkEnd w:id="103"/>
      <w:r>
        <w:t xml:space="preserve"> </w:t>
      </w:r>
    </w:p>
  </w:footnote>
  <w:footnote w:id="44">
    <w:p w14:paraId="0C7E8F6E" w14:textId="016357ED" w:rsidR="00370BE0" w:rsidRPr="00D16DAA" w:rsidRDefault="00370BE0" w:rsidP="00370BE0">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45">
    <w:p w14:paraId="592776EF" w14:textId="77777777" w:rsidR="00352DB0" w:rsidRPr="00D16DAA" w:rsidRDefault="00352DB0" w:rsidP="00352DB0">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46">
    <w:p w14:paraId="26F33331" w14:textId="77777777" w:rsidR="00FE08A2" w:rsidRPr="00D16DAA" w:rsidRDefault="00FE08A2" w:rsidP="00FE08A2">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47">
    <w:p w14:paraId="66D18278" w14:textId="77777777" w:rsidR="004F4E05" w:rsidRPr="00D16DAA" w:rsidRDefault="004F4E05" w:rsidP="004F4E05">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48">
    <w:p w14:paraId="2F901803" w14:textId="77777777" w:rsidR="005C3E97" w:rsidRPr="00D16DAA" w:rsidRDefault="005C3E97" w:rsidP="005C3E97">
      <w:pPr>
        <w:pStyle w:val="Textonotapie"/>
        <w:rPr>
          <w:lang w:val="es-ES"/>
        </w:rPr>
      </w:pPr>
      <w:r>
        <w:rPr>
          <w:rStyle w:val="Refdenotaalpie"/>
        </w:rPr>
        <w:footnoteRef/>
      </w:r>
      <w:r>
        <w:t xml:space="preserve"> </w:t>
      </w:r>
      <w:r w:rsidRPr="00D16DAA">
        <w:rPr>
          <w:sz w:val="16"/>
          <w:szCs w:val="16"/>
        </w:rPr>
        <w:t>UPME- UIS</w:t>
      </w:r>
      <w:r>
        <w:rPr>
          <w:sz w:val="16"/>
          <w:szCs w:val="16"/>
        </w:rPr>
        <w:t>. R</w:t>
      </w:r>
      <w:r w:rsidRPr="00D16DAA">
        <w:rPr>
          <w:sz w:val="16"/>
          <w:szCs w:val="16"/>
        </w:rPr>
        <w:t>ealizar un an</w:t>
      </w:r>
      <w:r>
        <w:rPr>
          <w:sz w:val="16"/>
          <w:szCs w:val="16"/>
        </w:rPr>
        <w:t>á</w:t>
      </w:r>
      <w:r w:rsidRPr="00D16DAA">
        <w:rPr>
          <w:sz w:val="16"/>
          <w:szCs w:val="16"/>
        </w:rPr>
        <w:t>lisis del potencial de reutilizaci</w:t>
      </w:r>
      <w:r>
        <w:rPr>
          <w:sz w:val="16"/>
          <w:szCs w:val="16"/>
        </w:rPr>
        <w:t>ó</w:t>
      </w:r>
      <w:r w:rsidRPr="00D16DAA">
        <w:rPr>
          <w:sz w:val="16"/>
          <w:szCs w:val="16"/>
        </w:rPr>
        <w:t xml:space="preserve">n de minerales en </w:t>
      </w:r>
      <w:r>
        <w:rPr>
          <w:sz w:val="16"/>
          <w:szCs w:val="16"/>
        </w:rPr>
        <w:t>C</w:t>
      </w:r>
      <w:r w:rsidRPr="00D16DAA">
        <w:rPr>
          <w:sz w:val="16"/>
          <w:szCs w:val="16"/>
        </w:rPr>
        <w:t>olombia y definir estrategias orientadas a fomentar su aprovechamiento por parte de la industria en el pa</w:t>
      </w:r>
      <w:r>
        <w:rPr>
          <w:sz w:val="16"/>
          <w:szCs w:val="16"/>
        </w:rPr>
        <w:t>í</w:t>
      </w:r>
      <w:r w:rsidRPr="00D16DAA">
        <w:rPr>
          <w:sz w:val="16"/>
          <w:szCs w:val="16"/>
        </w:rPr>
        <w:t>s bajo el enfoque de econom</w:t>
      </w:r>
      <w:r>
        <w:rPr>
          <w:sz w:val="16"/>
          <w:szCs w:val="16"/>
        </w:rPr>
        <w:t>í</w:t>
      </w:r>
      <w:r w:rsidRPr="00D16DAA">
        <w:rPr>
          <w:sz w:val="16"/>
          <w:szCs w:val="16"/>
        </w:rPr>
        <w:t>a circular</w:t>
      </w:r>
      <w:r>
        <w:rPr>
          <w:sz w:val="16"/>
          <w:szCs w:val="16"/>
        </w:rPr>
        <w:t xml:space="preserve">, </w:t>
      </w:r>
      <w:r w:rsidRPr="00D16DAA">
        <w:rPr>
          <w:sz w:val="16"/>
          <w:szCs w:val="16"/>
        </w:rPr>
        <w:t xml:space="preserve">contrato interadministrativo </w:t>
      </w:r>
      <w:r>
        <w:rPr>
          <w:sz w:val="16"/>
          <w:szCs w:val="16"/>
        </w:rPr>
        <w:t>CI</w:t>
      </w:r>
      <w:r w:rsidRPr="00D16DAA">
        <w:rPr>
          <w:sz w:val="16"/>
          <w:szCs w:val="16"/>
        </w:rPr>
        <w:t>-049-2018</w:t>
      </w:r>
      <w:r>
        <w:rPr>
          <w:sz w:val="16"/>
          <w:szCs w:val="16"/>
        </w:rPr>
        <w:t>, 2018.</w:t>
      </w:r>
    </w:p>
  </w:footnote>
  <w:footnote w:id="49">
    <w:p w14:paraId="2DEDDED3" w14:textId="164BEB22" w:rsidR="005F4506" w:rsidRPr="00060A22" w:rsidRDefault="005F4506" w:rsidP="005F4506">
      <w:pPr>
        <w:autoSpaceDE w:val="0"/>
        <w:autoSpaceDN w:val="0"/>
        <w:adjustRightInd w:val="0"/>
        <w:rPr>
          <w:rFonts w:cs="Arial"/>
          <w:i/>
          <w:iCs/>
          <w:sz w:val="16"/>
          <w:szCs w:val="16"/>
        </w:rPr>
      </w:pPr>
      <w:bookmarkStart w:id="105" w:name="_Hlk86262099"/>
      <w:r w:rsidRPr="00060A22">
        <w:rPr>
          <w:rStyle w:val="Refdenotaalpie"/>
          <w:rFonts w:cs="Arial"/>
          <w:sz w:val="16"/>
          <w:szCs w:val="16"/>
        </w:rPr>
        <w:footnoteRef/>
      </w:r>
      <w:r w:rsidRPr="00060A22">
        <w:rPr>
          <w:rFonts w:cs="Arial"/>
          <w:sz w:val="16"/>
          <w:szCs w:val="16"/>
        </w:rPr>
        <w:t xml:space="preserve"> Gobierno de la </w:t>
      </w:r>
      <w:r w:rsidR="00A54D0A" w:rsidRPr="00060A22">
        <w:rPr>
          <w:rFonts w:cs="Arial"/>
          <w:sz w:val="16"/>
          <w:szCs w:val="16"/>
        </w:rPr>
        <w:t>República</w:t>
      </w:r>
      <w:r w:rsidRPr="00060A22">
        <w:rPr>
          <w:rFonts w:cs="Arial"/>
          <w:sz w:val="16"/>
          <w:szCs w:val="16"/>
        </w:rPr>
        <w:t xml:space="preserve"> de Colombia, 2019. </w:t>
      </w:r>
      <w:r w:rsidRPr="00060A22">
        <w:rPr>
          <w:rFonts w:cs="Arial"/>
          <w:i/>
          <w:iCs/>
          <w:sz w:val="16"/>
          <w:szCs w:val="16"/>
        </w:rPr>
        <w:t xml:space="preserve">Estrategia nacional de economía circular. Cierre de ciclos de materiales, innovación tecnológica, colaboración y nuevos modelos de negocio. </w:t>
      </w:r>
      <w:r w:rsidRPr="00060A22">
        <w:rPr>
          <w:rFonts w:cs="Arial"/>
          <w:sz w:val="16"/>
          <w:szCs w:val="16"/>
        </w:rPr>
        <w:t>Bogotá D.C., Colombia. Presidencia de la República; Ministerio de Ambiente y Desarrollo Sostenible; Ministerio de Comercio, Industria y Turismo.</w:t>
      </w:r>
    </w:p>
    <w:bookmarkStart w:id="106" w:name="_Hlk86262108"/>
    <w:bookmarkStart w:id="107" w:name="_Hlk86262109"/>
    <w:bookmarkEnd w:id="105"/>
  </w:footnote>
  <w:footnote w:id="50">
    <w:p w14:paraId="2090F8CE" w14:textId="77777777" w:rsidR="00CB3DBD" w:rsidRPr="00CB3DBD" w:rsidRDefault="00CB3DBD" w:rsidP="00CB3DBD">
      <w:pPr>
        <w:autoSpaceDE w:val="0"/>
        <w:autoSpaceDN w:val="0"/>
        <w:adjustRightInd w:val="0"/>
        <w:rPr>
          <w:rFonts w:cs="Arial"/>
          <w:sz w:val="16"/>
          <w:szCs w:val="16"/>
          <w:lang w:val="es-MX"/>
        </w:rPr>
      </w:pPr>
      <w:bookmarkStart w:id="108" w:name="_Hlk86262108"/>
      <w:bookmarkStart w:id="109" w:name="_Hlk86262109"/>
      <w:r w:rsidRPr="00CB3DBD">
        <w:rPr>
          <w:rStyle w:val="Refdenotaalpie"/>
          <w:rFonts w:cs="Arial"/>
          <w:sz w:val="16"/>
          <w:szCs w:val="16"/>
        </w:rPr>
        <w:footnoteRef/>
      </w:r>
      <w:r w:rsidRPr="00CB3DBD">
        <w:rPr>
          <w:rFonts w:cs="Arial"/>
          <w:sz w:val="16"/>
          <w:szCs w:val="16"/>
        </w:rPr>
        <w:t xml:space="preserve"> Ministerio de Minas y Energía - Dirección de Minería Empresarial, 2021. Economía Circular en el sector minero colombiano “Una oportunidad para la productividad de la minería”. Bogotá D.C., Colombia</w:t>
      </w:r>
      <w:bookmarkEnd w:id="108"/>
      <w:bookmarkEnd w:id="109"/>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C7FE5" w14:textId="77777777" w:rsidR="00F1455C" w:rsidRPr="006F72AE" w:rsidRDefault="00F1455C" w:rsidP="00F1455C">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681792" behindDoc="1" locked="0" layoutInCell="1" allowOverlap="1" wp14:anchorId="4D02EE80" wp14:editId="225D18EF">
          <wp:simplePos x="0" y="0"/>
          <wp:positionH relativeFrom="column">
            <wp:posOffset>2465070</wp:posOffset>
          </wp:positionH>
          <wp:positionV relativeFrom="paragraph">
            <wp:posOffset>6985</wp:posOffset>
          </wp:positionV>
          <wp:extent cx="2124075" cy="447675"/>
          <wp:effectExtent l="0" t="0" r="9525" b="9525"/>
          <wp:wrapNone/>
          <wp:docPr id="9" name="Imagen 9"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682816" behindDoc="0" locked="0" layoutInCell="1" allowOverlap="1" wp14:anchorId="6D147D10" wp14:editId="460ECB91">
          <wp:simplePos x="0" y="0"/>
          <wp:positionH relativeFrom="margin">
            <wp:align>right</wp:align>
          </wp:positionH>
          <wp:positionV relativeFrom="paragraph">
            <wp:posOffset>-91440</wp:posOffset>
          </wp:positionV>
          <wp:extent cx="678180" cy="635000"/>
          <wp:effectExtent l="0" t="0" r="7620" b="0"/>
          <wp:wrapNone/>
          <wp:docPr id="10" name="Imagen 10"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13F33D66" w14:textId="77777777" w:rsidR="00F1455C" w:rsidRPr="006F72AE" w:rsidRDefault="00F1455C" w:rsidP="00F1455C">
    <w:pPr>
      <w:ind w:right="3735"/>
      <w:rPr>
        <w:rFonts w:asciiTheme="minorHAnsi" w:hAnsiTheme="minorHAnsi"/>
        <w:sz w:val="14"/>
        <w:szCs w:val="14"/>
      </w:rPr>
    </w:pPr>
    <w:r w:rsidRPr="008016B1">
      <w:rPr>
        <w:rFonts w:asciiTheme="minorHAnsi" w:hAnsiTheme="minorHAnsi"/>
        <w:sz w:val="14"/>
        <w:szCs w:val="14"/>
      </w:rPr>
      <w:t>CONTRATO DE CONSULTORÍA GGC-606-2021</w:t>
    </w:r>
  </w:p>
  <w:p w14:paraId="75873749"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5F60E56D"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234E74D2"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13E45730"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27F8CC9A" w14:textId="5C9B8A44" w:rsidR="007D4A92" w:rsidRDefault="00F1455C" w:rsidP="00F1455C">
    <w:pPr>
      <w:ind w:right="3735"/>
      <w:rPr>
        <w:rFonts w:asciiTheme="minorHAnsi" w:hAnsiTheme="minorHAnsi"/>
        <w:sz w:val="12"/>
        <w:szCs w:val="12"/>
      </w:rPr>
    </w:pPr>
    <w:r w:rsidRPr="006F72AE">
      <w:rPr>
        <w:rFonts w:asciiTheme="minorHAnsi" w:hAnsiTheme="minorHAnsi"/>
        <w:sz w:val="12"/>
        <w:szCs w:val="12"/>
      </w:rPr>
      <w:t>Y CON “ECONOMÍA CIRCULAR EN LA ACTIVIDAD MINERA”.</w:t>
    </w:r>
  </w:p>
  <w:p w14:paraId="56143D53" w14:textId="77777777" w:rsidR="00F1455C" w:rsidRPr="00F1455C" w:rsidRDefault="00F1455C" w:rsidP="00F1455C">
    <w:pPr>
      <w:ind w:right="3735"/>
      <w:rPr>
        <w:rFonts w:asciiTheme="minorHAnsi" w:hAnsiTheme="minorHAnsi"/>
        <w:sz w:val="14"/>
        <w:szCs w:val="1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997D4" w14:textId="77777777" w:rsidR="00F1455C" w:rsidRPr="006F72AE" w:rsidRDefault="00F1455C" w:rsidP="00F1455C">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687936" behindDoc="1" locked="0" layoutInCell="1" allowOverlap="1" wp14:anchorId="31646C1E" wp14:editId="74949269">
          <wp:simplePos x="0" y="0"/>
          <wp:positionH relativeFrom="column">
            <wp:posOffset>2598420</wp:posOffset>
          </wp:positionH>
          <wp:positionV relativeFrom="paragraph">
            <wp:posOffset>45085</wp:posOffset>
          </wp:positionV>
          <wp:extent cx="2124075" cy="447675"/>
          <wp:effectExtent l="0" t="0" r="9525" b="9525"/>
          <wp:wrapNone/>
          <wp:docPr id="34" name="Imagen 34"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688960" behindDoc="0" locked="0" layoutInCell="1" allowOverlap="1" wp14:anchorId="02C1CC58" wp14:editId="5FC90BBB">
          <wp:simplePos x="0" y="0"/>
          <wp:positionH relativeFrom="margin">
            <wp:align>right</wp:align>
          </wp:positionH>
          <wp:positionV relativeFrom="paragraph">
            <wp:posOffset>-91440</wp:posOffset>
          </wp:positionV>
          <wp:extent cx="678180" cy="635000"/>
          <wp:effectExtent l="0" t="0" r="7620" b="0"/>
          <wp:wrapNone/>
          <wp:docPr id="35" name="Imagen 35"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4C828DDC" w14:textId="77777777" w:rsidR="00F1455C" w:rsidRPr="006F72AE" w:rsidRDefault="00F1455C" w:rsidP="00F1455C">
    <w:pPr>
      <w:ind w:right="3735"/>
      <w:rPr>
        <w:rFonts w:asciiTheme="minorHAnsi" w:hAnsiTheme="minorHAnsi"/>
        <w:sz w:val="14"/>
        <w:szCs w:val="14"/>
      </w:rPr>
    </w:pPr>
    <w:r w:rsidRPr="008016B1">
      <w:rPr>
        <w:rFonts w:asciiTheme="minorHAnsi" w:hAnsiTheme="minorHAnsi"/>
        <w:sz w:val="14"/>
        <w:szCs w:val="14"/>
      </w:rPr>
      <w:t>CONTRATO DE CONSULTORÍA GGC-606-2021</w:t>
    </w:r>
  </w:p>
  <w:p w14:paraId="478915B3"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711259A1"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68055B04"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30818717" w14:textId="77777777" w:rsidR="00F1455C" w:rsidRPr="006F72AE" w:rsidRDefault="00F1455C" w:rsidP="00F1455C">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742840A3" w14:textId="77777777" w:rsidR="00F1455C" w:rsidRPr="006F72AE" w:rsidRDefault="00F1455C" w:rsidP="00F1455C">
    <w:pPr>
      <w:ind w:right="3735"/>
      <w:rPr>
        <w:rFonts w:asciiTheme="minorHAnsi" w:hAnsiTheme="minorHAnsi"/>
        <w:sz w:val="14"/>
        <w:szCs w:val="14"/>
      </w:rPr>
    </w:pPr>
    <w:r w:rsidRPr="006F72AE">
      <w:rPr>
        <w:rFonts w:asciiTheme="minorHAnsi" w:hAnsiTheme="minorHAnsi"/>
        <w:sz w:val="12"/>
        <w:szCs w:val="12"/>
      </w:rPr>
      <w:t>Y CON “ECONOMÍA CIRCULAR EN LA ACTIVIDAD MINERA”.</w:t>
    </w:r>
  </w:p>
  <w:p w14:paraId="6BE1D465" w14:textId="77777777" w:rsidR="007D4A92" w:rsidRPr="00F1455C" w:rsidRDefault="007D4A92" w:rsidP="00F145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B7CA2"/>
    <w:multiLevelType w:val="hybridMultilevel"/>
    <w:tmpl w:val="91283F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5C32C80"/>
    <w:multiLevelType w:val="multilevel"/>
    <w:tmpl w:val="240A0025"/>
    <w:lvl w:ilvl="0">
      <w:start w:val="1"/>
      <w:numFmt w:val="decimal"/>
      <w:pStyle w:val="Ttulo1"/>
      <w:lvlText w:val="%1"/>
      <w:lvlJc w:val="left"/>
      <w:pPr>
        <w:ind w:left="432" w:hanging="432"/>
      </w:pPr>
      <w:rPr>
        <w:b/>
        <w:bCs/>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072F3C72"/>
    <w:multiLevelType w:val="hybridMultilevel"/>
    <w:tmpl w:val="5C06BD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7556DF1"/>
    <w:multiLevelType w:val="hybridMultilevel"/>
    <w:tmpl w:val="131690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B2417C7"/>
    <w:multiLevelType w:val="hybridMultilevel"/>
    <w:tmpl w:val="B180FBF4"/>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1F80EEC"/>
    <w:multiLevelType w:val="hybridMultilevel"/>
    <w:tmpl w:val="6172F18A"/>
    <w:lvl w:ilvl="0" w:tplc="732034BC">
      <w:numFmt w:val="bullet"/>
      <w:lvlText w:val="-"/>
      <w:lvlJc w:val="left"/>
      <w:pPr>
        <w:ind w:left="1079" w:hanging="360"/>
      </w:pPr>
      <w:rPr>
        <w:rFonts w:ascii="Arial" w:eastAsiaTheme="minorHAnsi" w:hAnsi="Arial" w:cs="Aria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6" w15:restartNumberingAfterBreak="0">
    <w:nsid w:val="17EC62BE"/>
    <w:multiLevelType w:val="hybridMultilevel"/>
    <w:tmpl w:val="D08E6688"/>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F635C09"/>
    <w:multiLevelType w:val="hybridMultilevel"/>
    <w:tmpl w:val="E1A88486"/>
    <w:lvl w:ilvl="0" w:tplc="C7F47358">
      <w:start w:val="14"/>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2C93C37"/>
    <w:multiLevelType w:val="hybridMultilevel"/>
    <w:tmpl w:val="23E435AA"/>
    <w:lvl w:ilvl="0" w:tplc="C436F1A6">
      <w:start w:val="1"/>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9" w15:restartNumberingAfterBreak="0">
    <w:nsid w:val="241C6DE2"/>
    <w:multiLevelType w:val="hybridMultilevel"/>
    <w:tmpl w:val="383CA8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529487F"/>
    <w:multiLevelType w:val="hybridMultilevel"/>
    <w:tmpl w:val="E09690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56839B4"/>
    <w:multiLevelType w:val="hybridMultilevel"/>
    <w:tmpl w:val="7024836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2" w15:restartNumberingAfterBreak="0">
    <w:nsid w:val="2CBC6FFD"/>
    <w:multiLevelType w:val="hybridMultilevel"/>
    <w:tmpl w:val="2FECBE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EAE10F3"/>
    <w:multiLevelType w:val="hybridMultilevel"/>
    <w:tmpl w:val="D904EC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4086645"/>
    <w:multiLevelType w:val="hybridMultilevel"/>
    <w:tmpl w:val="78BAFA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4196FA4"/>
    <w:multiLevelType w:val="hybridMultilevel"/>
    <w:tmpl w:val="6BA64BB2"/>
    <w:lvl w:ilvl="0" w:tplc="DF2E9088">
      <w:start w:val="1"/>
      <w:numFmt w:val="bullet"/>
      <w:lvlText w:val="-"/>
      <w:lvlJc w:val="left"/>
      <w:pPr>
        <w:ind w:left="720" w:hanging="360"/>
      </w:pPr>
      <w:rPr>
        <w:rFonts w:ascii="inherit" w:eastAsia="Times New Roman" w:hAnsi="inherit"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47F1E01"/>
    <w:multiLevelType w:val="hybridMultilevel"/>
    <w:tmpl w:val="BD760928"/>
    <w:lvl w:ilvl="0" w:tplc="ABF09802">
      <w:start w:val="1"/>
      <w:numFmt w:val="lowerLetter"/>
      <w:lvlText w:val="%1."/>
      <w:lvlJc w:val="left"/>
      <w:pPr>
        <w:ind w:left="720" w:hanging="360"/>
      </w:pPr>
      <w:rPr>
        <w:rFonts w:hint="default"/>
        <w:b/>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5CA471C"/>
    <w:multiLevelType w:val="hybridMultilevel"/>
    <w:tmpl w:val="80863152"/>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7573B0A"/>
    <w:multiLevelType w:val="hybridMultilevel"/>
    <w:tmpl w:val="39CA75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75D2BA7"/>
    <w:multiLevelType w:val="hybridMultilevel"/>
    <w:tmpl w:val="A920C5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A45181B"/>
    <w:multiLevelType w:val="hybridMultilevel"/>
    <w:tmpl w:val="D50A8126"/>
    <w:lvl w:ilvl="0" w:tplc="9C700576">
      <w:start w:val="2"/>
      <w:numFmt w:val="bullet"/>
      <w:lvlText w:val="-"/>
      <w:lvlJc w:val="left"/>
      <w:pPr>
        <w:ind w:left="720" w:hanging="360"/>
      </w:pPr>
      <w:rPr>
        <w:rFonts w:ascii="Arial" w:eastAsia="Calibr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1" w15:restartNumberingAfterBreak="0">
    <w:nsid w:val="3AA03EAA"/>
    <w:multiLevelType w:val="hybridMultilevel"/>
    <w:tmpl w:val="8D6A7FD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2" w15:restartNumberingAfterBreak="0">
    <w:nsid w:val="40B515E4"/>
    <w:multiLevelType w:val="hybridMultilevel"/>
    <w:tmpl w:val="343E9A2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2463576"/>
    <w:multiLevelType w:val="hybridMultilevel"/>
    <w:tmpl w:val="63343D4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4321107E"/>
    <w:multiLevelType w:val="hybridMultilevel"/>
    <w:tmpl w:val="ADE483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5FB6B21"/>
    <w:multiLevelType w:val="hybridMultilevel"/>
    <w:tmpl w:val="34CE4A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9D94F48"/>
    <w:multiLevelType w:val="hybridMultilevel"/>
    <w:tmpl w:val="99A035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A100C67"/>
    <w:multiLevelType w:val="hybridMultilevel"/>
    <w:tmpl w:val="4CFCF6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AD05A32"/>
    <w:multiLevelType w:val="hybridMultilevel"/>
    <w:tmpl w:val="D0C0F4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D443273"/>
    <w:multiLevelType w:val="hybridMultilevel"/>
    <w:tmpl w:val="254AD49A"/>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F6C6D83"/>
    <w:multiLevelType w:val="hybridMultilevel"/>
    <w:tmpl w:val="05EEEA1E"/>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17B7D0C"/>
    <w:multiLevelType w:val="hybridMultilevel"/>
    <w:tmpl w:val="DB562B6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2" w15:restartNumberingAfterBreak="0">
    <w:nsid w:val="652B0148"/>
    <w:multiLevelType w:val="hybridMultilevel"/>
    <w:tmpl w:val="C64AA2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590126A"/>
    <w:multiLevelType w:val="hybridMultilevel"/>
    <w:tmpl w:val="A0FC6B1C"/>
    <w:lvl w:ilvl="0" w:tplc="803C0A74">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65A4D42"/>
    <w:multiLevelType w:val="hybridMultilevel"/>
    <w:tmpl w:val="69F2F96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6871038C"/>
    <w:multiLevelType w:val="hybridMultilevel"/>
    <w:tmpl w:val="5310F7B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8CA5D80"/>
    <w:multiLevelType w:val="hybridMultilevel"/>
    <w:tmpl w:val="998E5D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6A440F2D"/>
    <w:multiLevelType w:val="hybridMultilevel"/>
    <w:tmpl w:val="D172AB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D505E2C"/>
    <w:multiLevelType w:val="hybridMultilevel"/>
    <w:tmpl w:val="0C72E8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DE25682"/>
    <w:multiLevelType w:val="hybridMultilevel"/>
    <w:tmpl w:val="CF884A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0A83C41"/>
    <w:multiLevelType w:val="hybridMultilevel"/>
    <w:tmpl w:val="973C4B86"/>
    <w:lvl w:ilvl="0" w:tplc="0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4E306B2"/>
    <w:multiLevelType w:val="hybridMultilevel"/>
    <w:tmpl w:val="F37466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98D6BB7"/>
    <w:multiLevelType w:val="hybridMultilevel"/>
    <w:tmpl w:val="151E99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79AA30C3"/>
    <w:multiLevelType w:val="hybridMultilevel"/>
    <w:tmpl w:val="BB94C8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34"/>
  </w:num>
  <w:num w:numId="3">
    <w:abstractNumId w:val="5"/>
  </w:num>
  <w:num w:numId="4">
    <w:abstractNumId w:val="19"/>
  </w:num>
  <w:num w:numId="5">
    <w:abstractNumId w:val="13"/>
  </w:num>
  <w:num w:numId="6">
    <w:abstractNumId w:val="42"/>
  </w:num>
  <w:num w:numId="7">
    <w:abstractNumId w:val="27"/>
  </w:num>
  <w:num w:numId="8">
    <w:abstractNumId w:val="23"/>
  </w:num>
  <w:num w:numId="9">
    <w:abstractNumId w:val="33"/>
  </w:num>
  <w:num w:numId="10">
    <w:abstractNumId w:val="7"/>
  </w:num>
  <w:num w:numId="11">
    <w:abstractNumId w:val="26"/>
  </w:num>
  <w:num w:numId="12">
    <w:abstractNumId w:val="12"/>
  </w:num>
  <w:num w:numId="13">
    <w:abstractNumId w:val="25"/>
  </w:num>
  <w:num w:numId="14">
    <w:abstractNumId w:val="41"/>
  </w:num>
  <w:num w:numId="15">
    <w:abstractNumId w:val="28"/>
  </w:num>
  <w:num w:numId="16">
    <w:abstractNumId w:val="1"/>
  </w:num>
  <w:num w:numId="17">
    <w:abstractNumId w:val="3"/>
  </w:num>
  <w:num w:numId="18">
    <w:abstractNumId w:val="14"/>
  </w:num>
  <w:num w:numId="19">
    <w:abstractNumId w:val="36"/>
  </w:num>
  <w:num w:numId="20">
    <w:abstractNumId w:val="43"/>
  </w:num>
  <w:num w:numId="21">
    <w:abstractNumId w:val="29"/>
  </w:num>
  <w:num w:numId="22">
    <w:abstractNumId w:val="30"/>
  </w:num>
  <w:num w:numId="23">
    <w:abstractNumId w:val="22"/>
  </w:num>
  <w:num w:numId="24">
    <w:abstractNumId w:val="2"/>
  </w:num>
  <w:num w:numId="25">
    <w:abstractNumId w:val="24"/>
  </w:num>
  <w:num w:numId="26">
    <w:abstractNumId w:val="18"/>
  </w:num>
  <w:num w:numId="27">
    <w:abstractNumId w:val="9"/>
  </w:num>
  <w:num w:numId="28">
    <w:abstractNumId w:val="32"/>
  </w:num>
  <w:num w:numId="29">
    <w:abstractNumId w:val="38"/>
  </w:num>
  <w:num w:numId="30">
    <w:abstractNumId w:val="40"/>
  </w:num>
  <w:num w:numId="31">
    <w:abstractNumId w:val="0"/>
  </w:num>
  <w:num w:numId="32">
    <w:abstractNumId w:val="16"/>
  </w:num>
  <w:num w:numId="33">
    <w:abstractNumId w:val="4"/>
  </w:num>
  <w:num w:numId="34">
    <w:abstractNumId w:val="6"/>
  </w:num>
  <w:num w:numId="35">
    <w:abstractNumId w:val="17"/>
  </w:num>
  <w:num w:numId="36">
    <w:abstractNumId w:val="20"/>
  </w:num>
  <w:num w:numId="37">
    <w:abstractNumId w:val="8"/>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num>
  <w:num w:numId="41">
    <w:abstractNumId w:val="15"/>
  </w:num>
  <w:num w:numId="42">
    <w:abstractNumId w:val="21"/>
  </w:num>
  <w:num w:numId="43">
    <w:abstractNumId w:val="35"/>
  </w:num>
  <w:num w:numId="44">
    <w:abstractNumId w:val="3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084"/>
    <w:rsid w:val="00000F71"/>
    <w:rsid w:val="0000228A"/>
    <w:rsid w:val="00002891"/>
    <w:rsid w:val="000031C5"/>
    <w:rsid w:val="000073F7"/>
    <w:rsid w:val="0001415C"/>
    <w:rsid w:val="000234A6"/>
    <w:rsid w:val="000239D4"/>
    <w:rsid w:val="00023D95"/>
    <w:rsid w:val="00023DA7"/>
    <w:rsid w:val="0002532B"/>
    <w:rsid w:val="000263E3"/>
    <w:rsid w:val="0003127B"/>
    <w:rsid w:val="00033292"/>
    <w:rsid w:val="00034B50"/>
    <w:rsid w:val="00034E6A"/>
    <w:rsid w:val="00035A87"/>
    <w:rsid w:val="00037F07"/>
    <w:rsid w:val="0004134A"/>
    <w:rsid w:val="000426E4"/>
    <w:rsid w:val="000440E4"/>
    <w:rsid w:val="00044CCA"/>
    <w:rsid w:val="00044F80"/>
    <w:rsid w:val="000503BD"/>
    <w:rsid w:val="00052420"/>
    <w:rsid w:val="000536B9"/>
    <w:rsid w:val="00053979"/>
    <w:rsid w:val="00056145"/>
    <w:rsid w:val="00056D24"/>
    <w:rsid w:val="00056D2A"/>
    <w:rsid w:val="00060A22"/>
    <w:rsid w:val="00060ED7"/>
    <w:rsid w:val="000634F6"/>
    <w:rsid w:val="000651C3"/>
    <w:rsid w:val="00066C0D"/>
    <w:rsid w:val="00067E85"/>
    <w:rsid w:val="00070BB9"/>
    <w:rsid w:val="00072EC8"/>
    <w:rsid w:val="000772B1"/>
    <w:rsid w:val="00080E9D"/>
    <w:rsid w:val="000813F4"/>
    <w:rsid w:val="000830E6"/>
    <w:rsid w:val="00083E6A"/>
    <w:rsid w:val="00085DC1"/>
    <w:rsid w:val="00086635"/>
    <w:rsid w:val="000875AD"/>
    <w:rsid w:val="000925C8"/>
    <w:rsid w:val="00094F0C"/>
    <w:rsid w:val="000A0C65"/>
    <w:rsid w:val="000A3E90"/>
    <w:rsid w:val="000A59FD"/>
    <w:rsid w:val="000A7D4B"/>
    <w:rsid w:val="000C105F"/>
    <w:rsid w:val="000C1A57"/>
    <w:rsid w:val="000C1C07"/>
    <w:rsid w:val="000C1D0A"/>
    <w:rsid w:val="000C23D3"/>
    <w:rsid w:val="000C45EA"/>
    <w:rsid w:val="000C5111"/>
    <w:rsid w:val="000C53EC"/>
    <w:rsid w:val="000C5A83"/>
    <w:rsid w:val="000C6083"/>
    <w:rsid w:val="000C6A03"/>
    <w:rsid w:val="000D18A2"/>
    <w:rsid w:val="000D2CCB"/>
    <w:rsid w:val="000D33CA"/>
    <w:rsid w:val="000D3FE9"/>
    <w:rsid w:val="000D544F"/>
    <w:rsid w:val="000D6018"/>
    <w:rsid w:val="000D6C93"/>
    <w:rsid w:val="000D799B"/>
    <w:rsid w:val="000E1C2A"/>
    <w:rsid w:val="000E23B9"/>
    <w:rsid w:val="000E4DC6"/>
    <w:rsid w:val="000E4F09"/>
    <w:rsid w:val="000F04DF"/>
    <w:rsid w:val="000F057F"/>
    <w:rsid w:val="000F0DE8"/>
    <w:rsid w:val="000F101F"/>
    <w:rsid w:val="000F104E"/>
    <w:rsid w:val="000F147D"/>
    <w:rsid w:val="000F3DC3"/>
    <w:rsid w:val="000F44B2"/>
    <w:rsid w:val="001010E9"/>
    <w:rsid w:val="001019B3"/>
    <w:rsid w:val="00102A64"/>
    <w:rsid w:val="00104858"/>
    <w:rsid w:val="00105521"/>
    <w:rsid w:val="001060E7"/>
    <w:rsid w:val="00106D0C"/>
    <w:rsid w:val="0011131E"/>
    <w:rsid w:val="00112460"/>
    <w:rsid w:val="00113126"/>
    <w:rsid w:val="001137D2"/>
    <w:rsid w:val="00116AA6"/>
    <w:rsid w:val="0011718D"/>
    <w:rsid w:val="001254F6"/>
    <w:rsid w:val="00127504"/>
    <w:rsid w:val="00135E6C"/>
    <w:rsid w:val="00137797"/>
    <w:rsid w:val="00140077"/>
    <w:rsid w:val="00142A9F"/>
    <w:rsid w:val="001433DE"/>
    <w:rsid w:val="001433E3"/>
    <w:rsid w:val="00146084"/>
    <w:rsid w:val="00146376"/>
    <w:rsid w:val="00151819"/>
    <w:rsid w:val="00152F0B"/>
    <w:rsid w:val="00155CFD"/>
    <w:rsid w:val="00156452"/>
    <w:rsid w:val="0016100F"/>
    <w:rsid w:val="00161B72"/>
    <w:rsid w:val="00162146"/>
    <w:rsid w:val="00164B18"/>
    <w:rsid w:val="00165170"/>
    <w:rsid w:val="0016679D"/>
    <w:rsid w:val="00170DC5"/>
    <w:rsid w:val="00170DF7"/>
    <w:rsid w:val="0017479B"/>
    <w:rsid w:val="001748CE"/>
    <w:rsid w:val="00175C1A"/>
    <w:rsid w:val="00176B4B"/>
    <w:rsid w:val="00176D34"/>
    <w:rsid w:val="00180EE7"/>
    <w:rsid w:val="00185F17"/>
    <w:rsid w:val="0018739B"/>
    <w:rsid w:val="00191C36"/>
    <w:rsid w:val="00191C5F"/>
    <w:rsid w:val="00193E55"/>
    <w:rsid w:val="001A02E4"/>
    <w:rsid w:val="001A3161"/>
    <w:rsid w:val="001A54EB"/>
    <w:rsid w:val="001A5933"/>
    <w:rsid w:val="001A7771"/>
    <w:rsid w:val="001B2A79"/>
    <w:rsid w:val="001B2D35"/>
    <w:rsid w:val="001B34CB"/>
    <w:rsid w:val="001C62FF"/>
    <w:rsid w:val="001C6641"/>
    <w:rsid w:val="001C6F27"/>
    <w:rsid w:val="001D15B4"/>
    <w:rsid w:val="001D19ED"/>
    <w:rsid w:val="001D1AB4"/>
    <w:rsid w:val="001D486F"/>
    <w:rsid w:val="001D49AE"/>
    <w:rsid w:val="001D7943"/>
    <w:rsid w:val="001D797D"/>
    <w:rsid w:val="001E31A3"/>
    <w:rsid w:val="001E4BF0"/>
    <w:rsid w:val="001E78E4"/>
    <w:rsid w:val="001F0513"/>
    <w:rsid w:val="001F17BD"/>
    <w:rsid w:val="001F2410"/>
    <w:rsid w:val="001F2A3A"/>
    <w:rsid w:val="00202C85"/>
    <w:rsid w:val="00204468"/>
    <w:rsid w:val="00205AB1"/>
    <w:rsid w:val="00206195"/>
    <w:rsid w:val="00210214"/>
    <w:rsid w:val="00210EF2"/>
    <w:rsid w:val="00213040"/>
    <w:rsid w:val="00213A03"/>
    <w:rsid w:val="00213C21"/>
    <w:rsid w:val="002210FC"/>
    <w:rsid w:val="00221163"/>
    <w:rsid w:val="00221352"/>
    <w:rsid w:val="00221760"/>
    <w:rsid w:val="00225621"/>
    <w:rsid w:val="0023236A"/>
    <w:rsid w:val="002340A6"/>
    <w:rsid w:val="00234A46"/>
    <w:rsid w:val="00237013"/>
    <w:rsid w:val="002420F9"/>
    <w:rsid w:val="002441D8"/>
    <w:rsid w:val="00247C9E"/>
    <w:rsid w:val="00251D62"/>
    <w:rsid w:val="00254105"/>
    <w:rsid w:val="002553DB"/>
    <w:rsid w:val="00255BAE"/>
    <w:rsid w:val="00260201"/>
    <w:rsid w:val="00260606"/>
    <w:rsid w:val="0026065F"/>
    <w:rsid w:val="00264482"/>
    <w:rsid w:val="002645CE"/>
    <w:rsid w:val="00266492"/>
    <w:rsid w:val="0026764A"/>
    <w:rsid w:val="002717CF"/>
    <w:rsid w:val="00271BB0"/>
    <w:rsid w:val="0027254D"/>
    <w:rsid w:val="0027347B"/>
    <w:rsid w:val="00276527"/>
    <w:rsid w:val="00281ADD"/>
    <w:rsid w:val="00284D68"/>
    <w:rsid w:val="002855A1"/>
    <w:rsid w:val="00286B3F"/>
    <w:rsid w:val="0028730F"/>
    <w:rsid w:val="002910D8"/>
    <w:rsid w:val="00291366"/>
    <w:rsid w:val="0029581F"/>
    <w:rsid w:val="0029681A"/>
    <w:rsid w:val="002A1A3F"/>
    <w:rsid w:val="002A49DB"/>
    <w:rsid w:val="002A524E"/>
    <w:rsid w:val="002A543F"/>
    <w:rsid w:val="002A554A"/>
    <w:rsid w:val="002B018F"/>
    <w:rsid w:val="002B2157"/>
    <w:rsid w:val="002B4A34"/>
    <w:rsid w:val="002B6DE6"/>
    <w:rsid w:val="002B7DD4"/>
    <w:rsid w:val="002C0ABF"/>
    <w:rsid w:val="002C2C5A"/>
    <w:rsid w:val="002C5E5F"/>
    <w:rsid w:val="002C748B"/>
    <w:rsid w:val="002D03EA"/>
    <w:rsid w:val="002D3C28"/>
    <w:rsid w:val="002D47F1"/>
    <w:rsid w:val="002E0D82"/>
    <w:rsid w:val="002E3F8E"/>
    <w:rsid w:val="002E4B0A"/>
    <w:rsid w:val="002E6895"/>
    <w:rsid w:val="002E6AB0"/>
    <w:rsid w:val="002F0412"/>
    <w:rsid w:val="002F0629"/>
    <w:rsid w:val="002F1C03"/>
    <w:rsid w:val="002F2DA3"/>
    <w:rsid w:val="002F5E86"/>
    <w:rsid w:val="002F7AC6"/>
    <w:rsid w:val="00300913"/>
    <w:rsid w:val="003016C2"/>
    <w:rsid w:val="00305FF7"/>
    <w:rsid w:val="00311DE0"/>
    <w:rsid w:val="00312E43"/>
    <w:rsid w:val="00314DC5"/>
    <w:rsid w:val="00320011"/>
    <w:rsid w:val="0032235F"/>
    <w:rsid w:val="00323614"/>
    <w:rsid w:val="00325D8C"/>
    <w:rsid w:val="00326462"/>
    <w:rsid w:val="003278D2"/>
    <w:rsid w:val="003318DA"/>
    <w:rsid w:val="00331D4B"/>
    <w:rsid w:val="003353D9"/>
    <w:rsid w:val="003357CD"/>
    <w:rsid w:val="0033588E"/>
    <w:rsid w:val="003377C4"/>
    <w:rsid w:val="00341B75"/>
    <w:rsid w:val="00347CC4"/>
    <w:rsid w:val="00350973"/>
    <w:rsid w:val="00351191"/>
    <w:rsid w:val="00351A6C"/>
    <w:rsid w:val="00351FEC"/>
    <w:rsid w:val="00352571"/>
    <w:rsid w:val="00352DB0"/>
    <w:rsid w:val="00353A4E"/>
    <w:rsid w:val="00357C16"/>
    <w:rsid w:val="00361C73"/>
    <w:rsid w:val="00361F20"/>
    <w:rsid w:val="00363182"/>
    <w:rsid w:val="0036556D"/>
    <w:rsid w:val="003664E2"/>
    <w:rsid w:val="00366991"/>
    <w:rsid w:val="00370BE0"/>
    <w:rsid w:val="00374FAC"/>
    <w:rsid w:val="00377B84"/>
    <w:rsid w:val="00380BB6"/>
    <w:rsid w:val="00382D2C"/>
    <w:rsid w:val="00383A5F"/>
    <w:rsid w:val="00385258"/>
    <w:rsid w:val="00385366"/>
    <w:rsid w:val="00392C54"/>
    <w:rsid w:val="003938D4"/>
    <w:rsid w:val="003943BD"/>
    <w:rsid w:val="003973FE"/>
    <w:rsid w:val="003979B4"/>
    <w:rsid w:val="003A115B"/>
    <w:rsid w:val="003A131D"/>
    <w:rsid w:val="003A14CA"/>
    <w:rsid w:val="003A4055"/>
    <w:rsid w:val="003A6D61"/>
    <w:rsid w:val="003B4035"/>
    <w:rsid w:val="003B7415"/>
    <w:rsid w:val="003C5412"/>
    <w:rsid w:val="003C60D0"/>
    <w:rsid w:val="003C74A6"/>
    <w:rsid w:val="003D268C"/>
    <w:rsid w:val="003D4695"/>
    <w:rsid w:val="003D49CF"/>
    <w:rsid w:val="003D5CFC"/>
    <w:rsid w:val="003E097E"/>
    <w:rsid w:val="003E3EB9"/>
    <w:rsid w:val="003E4798"/>
    <w:rsid w:val="003E557B"/>
    <w:rsid w:val="003F0AED"/>
    <w:rsid w:val="003F25AC"/>
    <w:rsid w:val="003F2978"/>
    <w:rsid w:val="003F5938"/>
    <w:rsid w:val="00401DA1"/>
    <w:rsid w:val="00401E4A"/>
    <w:rsid w:val="00403B7C"/>
    <w:rsid w:val="00405D90"/>
    <w:rsid w:val="00405E0E"/>
    <w:rsid w:val="004111F4"/>
    <w:rsid w:val="0041533C"/>
    <w:rsid w:val="00415A40"/>
    <w:rsid w:val="00417F73"/>
    <w:rsid w:val="00421CEB"/>
    <w:rsid w:val="004220BF"/>
    <w:rsid w:val="00424BD4"/>
    <w:rsid w:val="00424CAC"/>
    <w:rsid w:val="004251FA"/>
    <w:rsid w:val="00430D33"/>
    <w:rsid w:val="00431C26"/>
    <w:rsid w:val="00434C6F"/>
    <w:rsid w:val="0044117E"/>
    <w:rsid w:val="00441708"/>
    <w:rsid w:val="00441974"/>
    <w:rsid w:val="00443CDB"/>
    <w:rsid w:val="00444B82"/>
    <w:rsid w:val="00444C39"/>
    <w:rsid w:val="004470E8"/>
    <w:rsid w:val="00447CF6"/>
    <w:rsid w:val="00450EFF"/>
    <w:rsid w:val="00451F31"/>
    <w:rsid w:val="00453F46"/>
    <w:rsid w:val="004541FF"/>
    <w:rsid w:val="00455C02"/>
    <w:rsid w:val="00456C43"/>
    <w:rsid w:val="00456E97"/>
    <w:rsid w:val="00461EA1"/>
    <w:rsid w:val="004651B9"/>
    <w:rsid w:val="00465C14"/>
    <w:rsid w:val="0046603B"/>
    <w:rsid w:val="0046661B"/>
    <w:rsid w:val="00466E7A"/>
    <w:rsid w:val="0046726D"/>
    <w:rsid w:val="0047470C"/>
    <w:rsid w:val="0047711B"/>
    <w:rsid w:val="00482A58"/>
    <w:rsid w:val="00482D3D"/>
    <w:rsid w:val="004834B6"/>
    <w:rsid w:val="00484850"/>
    <w:rsid w:val="0048512F"/>
    <w:rsid w:val="004877A9"/>
    <w:rsid w:val="00490302"/>
    <w:rsid w:val="00493C5A"/>
    <w:rsid w:val="00493C68"/>
    <w:rsid w:val="0049651C"/>
    <w:rsid w:val="004A2214"/>
    <w:rsid w:val="004A3C08"/>
    <w:rsid w:val="004A4150"/>
    <w:rsid w:val="004A4C50"/>
    <w:rsid w:val="004A7124"/>
    <w:rsid w:val="004B3A35"/>
    <w:rsid w:val="004B3F6B"/>
    <w:rsid w:val="004B43AD"/>
    <w:rsid w:val="004B535B"/>
    <w:rsid w:val="004C079A"/>
    <w:rsid w:val="004C135E"/>
    <w:rsid w:val="004C1860"/>
    <w:rsid w:val="004C2B18"/>
    <w:rsid w:val="004C7504"/>
    <w:rsid w:val="004D43BA"/>
    <w:rsid w:val="004D4555"/>
    <w:rsid w:val="004D552C"/>
    <w:rsid w:val="004D664C"/>
    <w:rsid w:val="004E0048"/>
    <w:rsid w:val="004E0C5D"/>
    <w:rsid w:val="004E3F05"/>
    <w:rsid w:val="004E6446"/>
    <w:rsid w:val="004F084D"/>
    <w:rsid w:val="004F3B5E"/>
    <w:rsid w:val="004F4B51"/>
    <w:rsid w:val="004F4E05"/>
    <w:rsid w:val="004F5DEB"/>
    <w:rsid w:val="005022AE"/>
    <w:rsid w:val="005035A2"/>
    <w:rsid w:val="0051057A"/>
    <w:rsid w:val="00510D8C"/>
    <w:rsid w:val="00513ADD"/>
    <w:rsid w:val="005146A6"/>
    <w:rsid w:val="00514854"/>
    <w:rsid w:val="00514E89"/>
    <w:rsid w:val="00517AED"/>
    <w:rsid w:val="0052132B"/>
    <w:rsid w:val="00522ED9"/>
    <w:rsid w:val="00525D7A"/>
    <w:rsid w:val="00532A23"/>
    <w:rsid w:val="0053314D"/>
    <w:rsid w:val="00533937"/>
    <w:rsid w:val="00534241"/>
    <w:rsid w:val="00534C62"/>
    <w:rsid w:val="00534E0D"/>
    <w:rsid w:val="00544D0D"/>
    <w:rsid w:val="00545C05"/>
    <w:rsid w:val="00546AEB"/>
    <w:rsid w:val="00550156"/>
    <w:rsid w:val="00553868"/>
    <w:rsid w:val="005543E7"/>
    <w:rsid w:val="00555DAE"/>
    <w:rsid w:val="00560AE4"/>
    <w:rsid w:val="00560CF0"/>
    <w:rsid w:val="00562159"/>
    <w:rsid w:val="005631A8"/>
    <w:rsid w:val="00563BE9"/>
    <w:rsid w:val="00563C81"/>
    <w:rsid w:val="00564123"/>
    <w:rsid w:val="00564FE9"/>
    <w:rsid w:val="00570610"/>
    <w:rsid w:val="00572820"/>
    <w:rsid w:val="0057612E"/>
    <w:rsid w:val="00580A46"/>
    <w:rsid w:val="00584C1C"/>
    <w:rsid w:val="005855EF"/>
    <w:rsid w:val="0058783B"/>
    <w:rsid w:val="005925B6"/>
    <w:rsid w:val="00594157"/>
    <w:rsid w:val="00596821"/>
    <w:rsid w:val="005A03DB"/>
    <w:rsid w:val="005A0C11"/>
    <w:rsid w:val="005A38A1"/>
    <w:rsid w:val="005A3BD8"/>
    <w:rsid w:val="005A4789"/>
    <w:rsid w:val="005A583B"/>
    <w:rsid w:val="005A7368"/>
    <w:rsid w:val="005A768E"/>
    <w:rsid w:val="005B114E"/>
    <w:rsid w:val="005B23DB"/>
    <w:rsid w:val="005B2AAC"/>
    <w:rsid w:val="005B312B"/>
    <w:rsid w:val="005B6BA8"/>
    <w:rsid w:val="005C06EC"/>
    <w:rsid w:val="005C3E0D"/>
    <w:rsid w:val="005C3E97"/>
    <w:rsid w:val="005C5924"/>
    <w:rsid w:val="005D045A"/>
    <w:rsid w:val="005D3807"/>
    <w:rsid w:val="005D5190"/>
    <w:rsid w:val="005D566D"/>
    <w:rsid w:val="005D64E2"/>
    <w:rsid w:val="005D6DB9"/>
    <w:rsid w:val="005D7441"/>
    <w:rsid w:val="005E37EF"/>
    <w:rsid w:val="005E4431"/>
    <w:rsid w:val="005E5D64"/>
    <w:rsid w:val="005E7E3A"/>
    <w:rsid w:val="005F0323"/>
    <w:rsid w:val="005F088F"/>
    <w:rsid w:val="005F257F"/>
    <w:rsid w:val="005F4506"/>
    <w:rsid w:val="005F4936"/>
    <w:rsid w:val="005F5710"/>
    <w:rsid w:val="005F66DA"/>
    <w:rsid w:val="00602C85"/>
    <w:rsid w:val="006064A3"/>
    <w:rsid w:val="00610A7B"/>
    <w:rsid w:val="006167B4"/>
    <w:rsid w:val="006175B8"/>
    <w:rsid w:val="00617738"/>
    <w:rsid w:val="00622BCF"/>
    <w:rsid w:val="00623A6E"/>
    <w:rsid w:val="00627BAF"/>
    <w:rsid w:val="00630005"/>
    <w:rsid w:val="006300B5"/>
    <w:rsid w:val="00631569"/>
    <w:rsid w:val="00635124"/>
    <w:rsid w:val="0064062C"/>
    <w:rsid w:val="006407A8"/>
    <w:rsid w:val="00641A62"/>
    <w:rsid w:val="00642C7A"/>
    <w:rsid w:val="00642E87"/>
    <w:rsid w:val="00644F0F"/>
    <w:rsid w:val="00645DA0"/>
    <w:rsid w:val="00652FC0"/>
    <w:rsid w:val="0065375D"/>
    <w:rsid w:val="00655573"/>
    <w:rsid w:val="00655EB6"/>
    <w:rsid w:val="00655F39"/>
    <w:rsid w:val="00656A1A"/>
    <w:rsid w:val="00661DE3"/>
    <w:rsid w:val="006633EA"/>
    <w:rsid w:val="006637C2"/>
    <w:rsid w:val="00665928"/>
    <w:rsid w:val="00665F49"/>
    <w:rsid w:val="00667401"/>
    <w:rsid w:val="006723D4"/>
    <w:rsid w:val="0067280A"/>
    <w:rsid w:val="006750FE"/>
    <w:rsid w:val="00677BFC"/>
    <w:rsid w:val="00682E37"/>
    <w:rsid w:val="0068351F"/>
    <w:rsid w:val="006841C8"/>
    <w:rsid w:val="0068510F"/>
    <w:rsid w:val="0069502E"/>
    <w:rsid w:val="00695BCD"/>
    <w:rsid w:val="00695EF3"/>
    <w:rsid w:val="006A1C5D"/>
    <w:rsid w:val="006A1CB0"/>
    <w:rsid w:val="006A29A8"/>
    <w:rsid w:val="006A4287"/>
    <w:rsid w:val="006A58E8"/>
    <w:rsid w:val="006A6C64"/>
    <w:rsid w:val="006B00F0"/>
    <w:rsid w:val="006B3242"/>
    <w:rsid w:val="006B4548"/>
    <w:rsid w:val="006C14D7"/>
    <w:rsid w:val="006C5C68"/>
    <w:rsid w:val="006D08F0"/>
    <w:rsid w:val="006D2A09"/>
    <w:rsid w:val="006D4AE7"/>
    <w:rsid w:val="006E1868"/>
    <w:rsid w:val="006E7F3F"/>
    <w:rsid w:val="006F20AC"/>
    <w:rsid w:val="006F4035"/>
    <w:rsid w:val="00702F50"/>
    <w:rsid w:val="00706272"/>
    <w:rsid w:val="00715786"/>
    <w:rsid w:val="00717C80"/>
    <w:rsid w:val="0072003A"/>
    <w:rsid w:val="00721749"/>
    <w:rsid w:val="00723DFC"/>
    <w:rsid w:val="00724325"/>
    <w:rsid w:val="0073095B"/>
    <w:rsid w:val="007333FB"/>
    <w:rsid w:val="00733587"/>
    <w:rsid w:val="00735043"/>
    <w:rsid w:val="007402D4"/>
    <w:rsid w:val="00740353"/>
    <w:rsid w:val="007420D3"/>
    <w:rsid w:val="00743038"/>
    <w:rsid w:val="00752A68"/>
    <w:rsid w:val="00753B0B"/>
    <w:rsid w:val="00755A2A"/>
    <w:rsid w:val="00760787"/>
    <w:rsid w:val="00764F75"/>
    <w:rsid w:val="00767A68"/>
    <w:rsid w:val="007700AB"/>
    <w:rsid w:val="0077030E"/>
    <w:rsid w:val="00770340"/>
    <w:rsid w:val="007722E2"/>
    <w:rsid w:val="0077297D"/>
    <w:rsid w:val="00773971"/>
    <w:rsid w:val="007771BA"/>
    <w:rsid w:val="007772EA"/>
    <w:rsid w:val="007809DB"/>
    <w:rsid w:val="00780E6F"/>
    <w:rsid w:val="00786AC2"/>
    <w:rsid w:val="00787AC2"/>
    <w:rsid w:val="007916C5"/>
    <w:rsid w:val="007918A5"/>
    <w:rsid w:val="00791B05"/>
    <w:rsid w:val="00793B02"/>
    <w:rsid w:val="007946DD"/>
    <w:rsid w:val="00796749"/>
    <w:rsid w:val="007A0593"/>
    <w:rsid w:val="007A0C07"/>
    <w:rsid w:val="007A29ED"/>
    <w:rsid w:val="007B2E21"/>
    <w:rsid w:val="007B2F5D"/>
    <w:rsid w:val="007B3EA9"/>
    <w:rsid w:val="007B4AF2"/>
    <w:rsid w:val="007B63B2"/>
    <w:rsid w:val="007C004A"/>
    <w:rsid w:val="007C1152"/>
    <w:rsid w:val="007C399B"/>
    <w:rsid w:val="007C3E98"/>
    <w:rsid w:val="007C74C6"/>
    <w:rsid w:val="007D185F"/>
    <w:rsid w:val="007D3026"/>
    <w:rsid w:val="007D3883"/>
    <w:rsid w:val="007D4A92"/>
    <w:rsid w:val="007D4E71"/>
    <w:rsid w:val="007D50D5"/>
    <w:rsid w:val="007D547D"/>
    <w:rsid w:val="007E0433"/>
    <w:rsid w:val="007E0A0D"/>
    <w:rsid w:val="007E3363"/>
    <w:rsid w:val="007E3E01"/>
    <w:rsid w:val="007F0989"/>
    <w:rsid w:val="007F420D"/>
    <w:rsid w:val="007F4C2F"/>
    <w:rsid w:val="00810547"/>
    <w:rsid w:val="00811737"/>
    <w:rsid w:val="0081265F"/>
    <w:rsid w:val="00814259"/>
    <w:rsid w:val="00816625"/>
    <w:rsid w:val="00817F87"/>
    <w:rsid w:val="008222A2"/>
    <w:rsid w:val="00822E48"/>
    <w:rsid w:val="00823353"/>
    <w:rsid w:val="00825A30"/>
    <w:rsid w:val="008278F3"/>
    <w:rsid w:val="008306AC"/>
    <w:rsid w:val="0083126C"/>
    <w:rsid w:val="00832AD9"/>
    <w:rsid w:val="0083338E"/>
    <w:rsid w:val="008348A3"/>
    <w:rsid w:val="00836F88"/>
    <w:rsid w:val="00843A30"/>
    <w:rsid w:val="00843B9C"/>
    <w:rsid w:val="00844897"/>
    <w:rsid w:val="00845208"/>
    <w:rsid w:val="008461EF"/>
    <w:rsid w:val="0084642F"/>
    <w:rsid w:val="00852CD6"/>
    <w:rsid w:val="0085440C"/>
    <w:rsid w:val="00856E8A"/>
    <w:rsid w:val="008600F0"/>
    <w:rsid w:val="0086328A"/>
    <w:rsid w:val="00864B6F"/>
    <w:rsid w:val="00871CEC"/>
    <w:rsid w:val="008729C9"/>
    <w:rsid w:val="00875A70"/>
    <w:rsid w:val="00875B5B"/>
    <w:rsid w:val="0087713C"/>
    <w:rsid w:val="00881020"/>
    <w:rsid w:val="00881370"/>
    <w:rsid w:val="00882561"/>
    <w:rsid w:val="00883BA9"/>
    <w:rsid w:val="008846C5"/>
    <w:rsid w:val="008859A1"/>
    <w:rsid w:val="008902D6"/>
    <w:rsid w:val="00890436"/>
    <w:rsid w:val="0089179A"/>
    <w:rsid w:val="00893747"/>
    <w:rsid w:val="00893FE9"/>
    <w:rsid w:val="00895D1C"/>
    <w:rsid w:val="008A0070"/>
    <w:rsid w:val="008A24FA"/>
    <w:rsid w:val="008A474B"/>
    <w:rsid w:val="008A48BE"/>
    <w:rsid w:val="008A575C"/>
    <w:rsid w:val="008A76BE"/>
    <w:rsid w:val="008A7BCB"/>
    <w:rsid w:val="008B02C3"/>
    <w:rsid w:val="008B0446"/>
    <w:rsid w:val="008B0BD6"/>
    <w:rsid w:val="008B0DC7"/>
    <w:rsid w:val="008B38AF"/>
    <w:rsid w:val="008B5B3A"/>
    <w:rsid w:val="008C0105"/>
    <w:rsid w:val="008C04AD"/>
    <w:rsid w:val="008C0675"/>
    <w:rsid w:val="008C62C6"/>
    <w:rsid w:val="008C6337"/>
    <w:rsid w:val="008C7C5A"/>
    <w:rsid w:val="008C7F17"/>
    <w:rsid w:val="008C7F70"/>
    <w:rsid w:val="008D0126"/>
    <w:rsid w:val="008D3721"/>
    <w:rsid w:val="008D3F4F"/>
    <w:rsid w:val="008D4BED"/>
    <w:rsid w:val="008D4C32"/>
    <w:rsid w:val="008D4E4D"/>
    <w:rsid w:val="008D60AB"/>
    <w:rsid w:val="008D70FE"/>
    <w:rsid w:val="008E2A1A"/>
    <w:rsid w:val="008F1231"/>
    <w:rsid w:val="008F21E6"/>
    <w:rsid w:val="008F2EF8"/>
    <w:rsid w:val="00901A49"/>
    <w:rsid w:val="00903F48"/>
    <w:rsid w:val="00906BBE"/>
    <w:rsid w:val="0091109F"/>
    <w:rsid w:val="00912A57"/>
    <w:rsid w:val="00912F86"/>
    <w:rsid w:val="00925ACE"/>
    <w:rsid w:val="00930753"/>
    <w:rsid w:val="0093183B"/>
    <w:rsid w:val="00932B00"/>
    <w:rsid w:val="00932BF0"/>
    <w:rsid w:val="00932C97"/>
    <w:rsid w:val="009335A8"/>
    <w:rsid w:val="00933973"/>
    <w:rsid w:val="00933997"/>
    <w:rsid w:val="00934BD1"/>
    <w:rsid w:val="00935A11"/>
    <w:rsid w:val="00935D7A"/>
    <w:rsid w:val="00935DB2"/>
    <w:rsid w:val="0093667F"/>
    <w:rsid w:val="009374A1"/>
    <w:rsid w:val="00944957"/>
    <w:rsid w:val="009466D2"/>
    <w:rsid w:val="00946E7A"/>
    <w:rsid w:val="009522F6"/>
    <w:rsid w:val="00955330"/>
    <w:rsid w:val="009553CB"/>
    <w:rsid w:val="00955965"/>
    <w:rsid w:val="0095616F"/>
    <w:rsid w:val="00960293"/>
    <w:rsid w:val="00964039"/>
    <w:rsid w:val="009648DF"/>
    <w:rsid w:val="00964C93"/>
    <w:rsid w:val="00966B5A"/>
    <w:rsid w:val="00971961"/>
    <w:rsid w:val="00973134"/>
    <w:rsid w:val="009801C0"/>
    <w:rsid w:val="009818AD"/>
    <w:rsid w:val="00985A00"/>
    <w:rsid w:val="00986B00"/>
    <w:rsid w:val="009907B9"/>
    <w:rsid w:val="009910DA"/>
    <w:rsid w:val="00991E36"/>
    <w:rsid w:val="0099213A"/>
    <w:rsid w:val="00994665"/>
    <w:rsid w:val="00995D3B"/>
    <w:rsid w:val="009A50B1"/>
    <w:rsid w:val="009A664D"/>
    <w:rsid w:val="009A6DB6"/>
    <w:rsid w:val="009B0FDE"/>
    <w:rsid w:val="009B452B"/>
    <w:rsid w:val="009B6171"/>
    <w:rsid w:val="009B6F7F"/>
    <w:rsid w:val="009B73A1"/>
    <w:rsid w:val="009C127A"/>
    <w:rsid w:val="009C1D86"/>
    <w:rsid w:val="009C242A"/>
    <w:rsid w:val="009C5AEC"/>
    <w:rsid w:val="009C62AB"/>
    <w:rsid w:val="009D00F7"/>
    <w:rsid w:val="009D0334"/>
    <w:rsid w:val="009D6294"/>
    <w:rsid w:val="009E2114"/>
    <w:rsid w:val="009E6DC1"/>
    <w:rsid w:val="009F5814"/>
    <w:rsid w:val="00A03105"/>
    <w:rsid w:val="00A03558"/>
    <w:rsid w:val="00A03A7A"/>
    <w:rsid w:val="00A054F9"/>
    <w:rsid w:val="00A06367"/>
    <w:rsid w:val="00A0747B"/>
    <w:rsid w:val="00A1119B"/>
    <w:rsid w:val="00A1418F"/>
    <w:rsid w:val="00A158D5"/>
    <w:rsid w:val="00A212B5"/>
    <w:rsid w:val="00A24083"/>
    <w:rsid w:val="00A24BEA"/>
    <w:rsid w:val="00A25153"/>
    <w:rsid w:val="00A254F6"/>
    <w:rsid w:val="00A279F6"/>
    <w:rsid w:val="00A30D83"/>
    <w:rsid w:val="00A33273"/>
    <w:rsid w:val="00A3534F"/>
    <w:rsid w:val="00A4002A"/>
    <w:rsid w:val="00A41F3D"/>
    <w:rsid w:val="00A45969"/>
    <w:rsid w:val="00A45E5F"/>
    <w:rsid w:val="00A509E9"/>
    <w:rsid w:val="00A518E9"/>
    <w:rsid w:val="00A51C53"/>
    <w:rsid w:val="00A54D0A"/>
    <w:rsid w:val="00A55051"/>
    <w:rsid w:val="00A5554A"/>
    <w:rsid w:val="00A56937"/>
    <w:rsid w:val="00A57859"/>
    <w:rsid w:val="00A63A73"/>
    <w:rsid w:val="00A65B7C"/>
    <w:rsid w:val="00A65EB4"/>
    <w:rsid w:val="00A676BB"/>
    <w:rsid w:val="00A70C84"/>
    <w:rsid w:val="00A70F50"/>
    <w:rsid w:val="00A72351"/>
    <w:rsid w:val="00A74D62"/>
    <w:rsid w:val="00A76408"/>
    <w:rsid w:val="00A77D7E"/>
    <w:rsid w:val="00A83077"/>
    <w:rsid w:val="00A830D6"/>
    <w:rsid w:val="00A83DCB"/>
    <w:rsid w:val="00A84705"/>
    <w:rsid w:val="00A85AC9"/>
    <w:rsid w:val="00A8745B"/>
    <w:rsid w:val="00A87516"/>
    <w:rsid w:val="00A91ACD"/>
    <w:rsid w:val="00A92264"/>
    <w:rsid w:val="00A93FCE"/>
    <w:rsid w:val="00A94243"/>
    <w:rsid w:val="00A94264"/>
    <w:rsid w:val="00A9600E"/>
    <w:rsid w:val="00AA0238"/>
    <w:rsid w:val="00AA058A"/>
    <w:rsid w:val="00AA0B78"/>
    <w:rsid w:val="00AA0C23"/>
    <w:rsid w:val="00AA0E4F"/>
    <w:rsid w:val="00AA248C"/>
    <w:rsid w:val="00AA2ABC"/>
    <w:rsid w:val="00AA63C7"/>
    <w:rsid w:val="00AB1C80"/>
    <w:rsid w:val="00AB20A1"/>
    <w:rsid w:val="00AB2AD3"/>
    <w:rsid w:val="00AB2D6E"/>
    <w:rsid w:val="00AB5005"/>
    <w:rsid w:val="00AC0545"/>
    <w:rsid w:val="00AC1741"/>
    <w:rsid w:val="00AC1987"/>
    <w:rsid w:val="00AC4139"/>
    <w:rsid w:val="00AC4618"/>
    <w:rsid w:val="00AC4E2C"/>
    <w:rsid w:val="00AC686E"/>
    <w:rsid w:val="00AC7060"/>
    <w:rsid w:val="00AD3860"/>
    <w:rsid w:val="00AD6DBD"/>
    <w:rsid w:val="00AD7452"/>
    <w:rsid w:val="00AD7BFD"/>
    <w:rsid w:val="00AD7FD0"/>
    <w:rsid w:val="00AE06EC"/>
    <w:rsid w:val="00AE0C6A"/>
    <w:rsid w:val="00AE1976"/>
    <w:rsid w:val="00AE1E55"/>
    <w:rsid w:val="00AE4D25"/>
    <w:rsid w:val="00AE50E7"/>
    <w:rsid w:val="00AE6E5E"/>
    <w:rsid w:val="00AF093C"/>
    <w:rsid w:val="00AF1301"/>
    <w:rsid w:val="00AF159B"/>
    <w:rsid w:val="00B04C8B"/>
    <w:rsid w:val="00B053FA"/>
    <w:rsid w:val="00B062E4"/>
    <w:rsid w:val="00B07A95"/>
    <w:rsid w:val="00B14729"/>
    <w:rsid w:val="00B1538D"/>
    <w:rsid w:val="00B15E6C"/>
    <w:rsid w:val="00B211AB"/>
    <w:rsid w:val="00B211D5"/>
    <w:rsid w:val="00B21A77"/>
    <w:rsid w:val="00B235F6"/>
    <w:rsid w:val="00B2472B"/>
    <w:rsid w:val="00B30F19"/>
    <w:rsid w:val="00B31B31"/>
    <w:rsid w:val="00B335A8"/>
    <w:rsid w:val="00B3553D"/>
    <w:rsid w:val="00B35A44"/>
    <w:rsid w:val="00B372D5"/>
    <w:rsid w:val="00B37D9B"/>
    <w:rsid w:val="00B37E58"/>
    <w:rsid w:val="00B4081D"/>
    <w:rsid w:val="00B40865"/>
    <w:rsid w:val="00B420D1"/>
    <w:rsid w:val="00B45A4F"/>
    <w:rsid w:val="00B460DA"/>
    <w:rsid w:val="00B473FF"/>
    <w:rsid w:val="00B511F3"/>
    <w:rsid w:val="00B536D9"/>
    <w:rsid w:val="00B53914"/>
    <w:rsid w:val="00B54246"/>
    <w:rsid w:val="00B54C80"/>
    <w:rsid w:val="00B5661E"/>
    <w:rsid w:val="00B57328"/>
    <w:rsid w:val="00B6364C"/>
    <w:rsid w:val="00B6505D"/>
    <w:rsid w:val="00B6538B"/>
    <w:rsid w:val="00B6675A"/>
    <w:rsid w:val="00B7020A"/>
    <w:rsid w:val="00B73502"/>
    <w:rsid w:val="00B73A51"/>
    <w:rsid w:val="00B74A9C"/>
    <w:rsid w:val="00B7696E"/>
    <w:rsid w:val="00B779D1"/>
    <w:rsid w:val="00B82B22"/>
    <w:rsid w:val="00B86382"/>
    <w:rsid w:val="00B86561"/>
    <w:rsid w:val="00B9076F"/>
    <w:rsid w:val="00B91A5B"/>
    <w:rsid w:val="00B926CC"/>
    <w:rsid w:val="00B9414C"/>
    <w:rsid w:val="00B94A0B"/>
    <w:rsid w:val="00BA025F"/>
    <w:rsid w:val="00BA0AEE"/>
    <w:rsid w:val="00BA4F33"/>
    <w:rsid w:val="00BA59A1"/>
    <w:rsid w:val="00BB176D"/>
    <w:rsid w:val="00BB1C5D"/>
    <w:rsid w:val="00BB412E"/>
    <w:rsid w:val="00BB4ECB"/>
    <w:rsid w:val="00BC1650"/>
    <w:rsid w:val="00BC2E80"/>
    <w:rsid w:val="00BC371C"/>
    <w:rsid w:val="00BC3EB2"/>
    <w:rsid w:val="00BC4B8C"/>
    <w:rsid w:val="00BC793B"/>
    <w:rsid w:val="00BD0154"/>
    <w:rsid w:val="00BD30B1"/>
    <w:rsid w:val="00BD3385"/>
    <w:rsid w:val="00BE12E5"/>
    <w:rsid w:val="00BE4E82"/>
    <w:rsid w:val="00BE5387"/>
    <w:rsid w:val="00BF1071"/>
    <w:rsid w:val="00BF2AB0"/>
    <w:rsid w:val="00BF342E"/>
    <w:rsid w:val="00BF3628"/>
    <w:rsid w:val="00BF3995"/>
    <w:rsid w:val="00C02B01"/>
    <w:rsid w:val="00C04197"/>
    <w:rsid w:val="00C050E9"/>
    <w:rsid w:val="00C053D1"/>
    <w:rsid w:val="00C147CB"/>
    <w:rsid w:val="00C2689E"/>
    <w:rsid w:val="00C353CC"/>
    <w:rsid w:val="00C40346"/>
    <w:rsid w:val="00C42B80"/>
    <w:rsid w:val="00C4344D"/>
    <w:rsid w:val="00C4394D"/>
    <w:rsid w:val="00C440DC"/>
    <w:rsid w:val="00C445A9"/>
    <w:rsid w:val="00C45BC6"/>
    <w:rsid w:val="00C531C6"/>
    <w:rsid w:val="00C5368C"/>
    <w:rsid w:val="00C5379D"/>
    <w:rsid w:val="00C55AD1"/>
    <w:rsid w:val="00C65DC6"/>
    <w:rsid w:val="00C66432"/>
    <w:rsid w:val="00C67F2C"/>
    <w:rsid w:val="00C7040E"/>
    <w:rsid w:val="00C70601"/>
    <w:rsid w:val="00C72921"/>
    <w:rsid w:val="00C74973"/>
    <w:rsid w:val="00C767A9"/>
    <w:rsid w:val="00C811F6"/>
    <w:rsid w:val="00C845D0"/>
    <w:rsid w:val="00C84C91"/>
    <w:rsid w:val="00C85AD0"/>
    <w:rsid w:val="00C86379"/>
    <w:rsid w:val="00C875C6"/>
    <w:rsid w:val="00C87FBF"/>
    <w:rsid w:val="00C92AAA"/>
    <w:rsid w:val="00C94470"/>
    <w:rsid w:val="00C95034"/>
    <w:rsid w:val="00C973F3"/>
    <w:rsid w:val="00CA0FC6"/>
    <w:rsid w:val="00CA12D3"/>
    <w:rsid w:val="00CA1B5E"/>
    <w:rsid w:val="00CA22B1"/>
    <w:rsid w:val="00CB0652"/>
    <w:rsid w:val="00CB1BE2"/>
    <w:rsid w:val="00CB3DBD"/>
    <w:rsid w:val="00CB4247"/>
    <w:rsid w:val="00CB4405"/>
    <w:rsid w:val="00CB6F07"/>
    <w:rsid w:val="00CC40B5"/>
    <w:rsid w:val="00CC4605"/>
    <w:rsid w:val="00CC4914"/>
    <w:rsid w:val="00CD1AB4"/>
    <w:rsid w:val="00CD289C"/>
    <w:rsid w:val="00CD3952"/>
    <w:rsid w:val="00CD6039"/>
    <w:rsid w:val="00CD6180"/>
    <w:rsid w:val="00CE0B08"/>
    <w:rsid w:val="00CE0D6C"/>
    <w:rsid w:val="00CE1D38"/>
    <w:rsid w:val="00CE5818"/>
    <w:rsid w:val="00CE60F7"/>
    <w:rsid w:val="00CE638B"/>
    <w:rsid w:val="00CE6D42"/>
    <w:rsid w:val="00CF1D65"/>
    <w:rsid w:val="00CF371E"/>
    <w:rsid w:val="00CF38A6"/>
    <w:rsid w:val="00CF3920"/>
    <w:rsid w:val="00CF7438"/>
    <w:rsid w:val="00CF779B"/>
    <w:rsid w:val="00D00003"/>
    <w:rsid w:val="00D00A0E"/>
    <w:rsid w:val="00D03BA4"/>
    <w:rsid w:val="00D03C98"/>
    <w:rsid w:val="00D0738B"/>
    <w:rsid w:val="00D07E67"/>
    <w:rsid w:val="00D10341"/>
    <w:rsid w:val="00D110C1"/>
    <w:rsid w:val="00D114C4"/>
    <w:rsid w:val="00D1194E"/>
    <w:rsid w:val="00D11A42"/>
    <w:rsid w:val="00D1319F"/>
    <w:rsid w:val="00D15CB3"/>
    <w:rsid w:val="00D16DAA"/>
    <w:rsid w:val="00D20FCD"/>
    <w:rsid w:val="00D25DEF"/>
    <w:rsid w:val="00D26BFA"/>
    <w:rsid w:val="00D3290F"/>
    <w:rsid w:val="00D36A62"/>
    <w:rsid w:val="00D41BDD"/>
    <w:rsid w:val="00D42DE2"/>
    <w:rsid w:val="00D4306F"/>
    <w:rsid w:val="00D43EB2"/>
    <w:rsid w:val="00D44938"/>
    <w:rsid w:val="00D45611"/>
    <w:rsid w:val="00D46BCC"/>
    <w:rsid w:val="00D4775C"/>
    <w:rsid w:val="00D477CF"/>
    <w:rsid w:val="00D479A5"/>
    <w:rsid w:val="00D52594"/>
    <w:rsid w:val="00D56358"/>
    <w:rsid w:val="00D61A51"/>
    <w:rsid w:val="00D61D0A"/>
    <w:rsid w:val="00D6434A"/>
    <w:rsid w:val="00D66FE3"/>
    <w:rsid w:val="00D671BE"/>
    <w:rsid w:val="00D70A74"/>
    <w:rsid w:val="00D70FEE"/>
    <w:rsid w:val="00D72828"/>
    <w:rsid w:val="00D74A97"/>
    <w:rsid w:val="00D74F26"/>
    <w:rsid w:val="00D7585C"/>
    <w:rsid w:val="00D75B00"/>
    <w:rsid w:val="00D812C8"/>
    <w:rsid w:val="00D81CBD"/>
    <w:rsid w:val="00D90E5F"/>
    <w:rsid w:val="00D935B9"/>
    <w:rsid w:val="00DA0159"/>
    <w:rsid w:val="00DA2CA4"/>
    <w:rsid w:val="00DA3A61"/>
    <w:rsid w:val="00DA5385"/>
    <w:rsid w:val="00DA6470"/>
    <w:rsid w:val="00DB3C85"/>
    <w:rsid w:val="00DB6089"/>
    <w:rsid w:val="00DC1919"/>
    <w:rsid w:val="00DC2BDC"/>
    <w:rsid w:val="00DC68EA"/>
    <w:rsid w:val="00DD09BB"/>
    <w:rsid w:val="00DD1969"/>
    <w:rsid w:val="00DD1CA7"/>
    <w:rsid w:val="00DD1DEE"/>
    <w:rsid w:val="00DD30A4"/>
    <w:rsid w:val="00DD45F3"/>
    <w:rsid w:val="00DD79F6"/>
    <w:rsid w:val="00DE2887"/>
    <w:rsid w:val="00DE2BF8"/>
    <w:rsid w:val="00DE4572"/>
    <w:rsid w:val="00DE5563"/>
    <w:rsid w:val="00DE73BB"/>
    <w:rsid w:val="00DF02BB"/>
    <w:rsid w:val="00DF2F0E"/>
    <w:rsid w:val="00DF5AFD"/>
    <w:rsid w:val="00DF63C6"/>
    <w:rsid w:val="00DF67C9"/>
    <w:rsid w:val="00E0251F"/>
    <w:rsid w:val="00E027AA"/>
    <w:rsid w:val="00E072EE"/>
    <w:rsid w:val="00E07853"/>
    <w:rsid w:val="00E102BE"/>
    <w:rsid w:val="00E12094"/>
    <w:rsid w:val="00E16730"/>
    <w:rsid w:val="00E208D5"/>
    <w:rsid w:val="00E21406"/>
    <w:rsid w:val="00E23A75"/>
    <w:rsid w:val="00E24068"/>
    <w:rsid w:val="00E24E1D"/>
    <w:rsid w:val="00E327EB"/>
    <w:rsid w:val="00E32882"/>
    <w:rsid w:val="00E34FA5"/>
    <w:rsid w:val="00E37AC5"/>
    <w:rsid w:val="00E40B48"/>
    <w:rsid w:val="00E41E12"/>
    <w:rsid w:val="00E43B73"/>
    <w:rsid w:val="00E43FAD"/>
    <w:rsid w:val="00E452E9"/>
    <w:rsid w:val="00E45A26"/>
    <w:rsid w:val="00E45B4B"/>
    <w:rsid w:val="00E45FE5"/>
    <w:rsid w:val="00E5041C"/>
    <w:rsid w:val="00E50CD9"/>
    <w:rsid w:val="00E5135F"/>
    <w:rsid w:val="00E51D27"/>
    <w:rsid w:val="00E546B3"/>
    <w:rsid w:val="00E552A2"/>
    <w:rsid w:val="00E56C62"/>
    <w:rsid w:val="00E5765C"/>
    <w:rsid w:val="00E61A82"/>
    <w:rsid w:val="00E64D05"/>
    <w:rsid w:val="00E652FD"/>
    <w:rsid w:val="00E675E2"/>
    <w:rsid w:val="00E7196C"/>
    <w:rsid w:val="00E74337"/>
    <w:rsid w:val="00E75578"/>
    <w:rsid w:val="00E83309"/>
    <w:rsid w:val="00E83DC8"/>
    <w:rsid w:val="00E853AB"/>
    <w:rsid w:val="00E865B9"/>
    <w:rsid w:val="00E873ED"/>
    <w:rsid w:val="00E912B5"/>
    <w:rsid w:val="00E94F10"/>
    <w:rsid w:val="00E9591E"/>
    <w:rsid w:val="00EA0EA5"/>
    <w:rsid w:val="00EA2882"/>
    <w:rsid w:val="00EB36A4"/>
    <w:rsid w:val="00EB4017"/>
    <w:rsid w:val="00EB44C2"/>
    <w:rsid w:val="00EB5469"/>
    <w:rsid w:val="00EB625F"/>
    <w:rsid w:val="00EB7632"/>
    <w:rsid w:val="00EC0BB5"/>
    <w:rsid w:val="00EC1209"/>
    <w:rsid w:val="00EC1D7A"/>
    <w:rsid w:val="00EC1DDC"/>
    <w:rsid w:val="00EC43D0"/>
    <w:rsid w:val="00EC71CE"/>
    <w:rsid w:val="00EC728B"/>
    <w:rsid w:val="00ED10D6"/>
    <w:rsid w:val="00ED1F72"/>
    <w:rsid w:val="00ED2A13"/>
    <w:rsid w:val="00ED5BC3"/>
    <w:rsid w:val="00ED697A"/>
    <w:rsid w:val="00EE087C"/>
    <w:rsid w:val="00EE2B01"/>
    <w:rsid w:val="00EE60A6"/>
    <w:rsid w:val="00EF04A1"/>
    <w:rsid w:val="00EF1C58"/>
    <w:rsid w:val="00EF2B9A"/>
    <w:rsid w:val="00EF2FF0"/>
    <w:rsid w:val="00EF53D0"/>
    <w:rsid w:val="00EF5475"/>
    <w:rsid w:val="00EF5483"/>
    <w:rsid w:val="00EF6717"/>
    <w:rsid w:val="00F02581"/>
    <w:rsid w:val="00F0754F"/>
    <w:rsid w:val="00F10D99"/>
    <w:rsid w:val="00F12B84"/>
    <w:rsid w:val="00F12CB2"/>
    <w:rsid w:val="00F1455C"/>
    <w:rsid w:val="00F151C7"/>
    <w:rsid w:val="00F15270"/>
    <w:rsid w:val="00F17CE8"/>
    <w:rsid w:val="00F20573"/>
    <w:rsid w:val="00F2069F"/>
    <w:rsid w:val="00F22A30"/>
    <w:rsid w:val="00F2678F"/>
    <w:rsid w:val="00F315AF"/>
    <w:rsid w:val="00F316BC"/>
    <w:rsid w:val="00F33DA7"/>
    <w:rsid w:val="00F36645"/>
    <w:rsid w:val="00F3736B"/>
    <w:rsid w:val="00F4140A"/>
    <w:rsid w:val="00F43077"/>
    <w:rsid w:val="00F4384B"/>
    <w:rsid w:val="00F4483B"/>
    <w:rsid w:val="00F45A8A"/>
    <w:rsid w:val="00F46E34"/>
    <w:rsid w:val="00F508E9"/>
    <w:rsid w:val="00F50BFC"/>
    <w:rsid w:val="00F51277"/>
    <w:rsid w:val="00F62106"/>
    <w:rsid w:val="00F643F1"/>
    <w:rsid w:val="00F65034"/>
    <w:rsid w:val="00F65581"/>
    <w:rsid w:val="00F67FDE"/>
    <w:rsid w:val="00F718C6"/>
    <w:rsid w:val="00F72855"/>
    <w:rsid w:val="00F73F04"/>
    <w:rsid w:val="00F751AC"/>
    <w:rsid w:val="00F77FA4"/>
    <w:rsid w:val="00F84554"/>
    <w:rsid w:val="00F849EC"/>
    <w:rsid w:val="00F86751"/>
    <w:rsid w:val="00F90A8A"/>
    <w:rsid w:val="00F91195"/>
    <w:rsid w:val="00F93769"/>
    <w:rsid w:val="00F940E6"/>
    <w:rsid w:val="00F961AE"/>
    <w:rsid w:val="00F96784"/>
    <w:rsid w:val="00F96801"/>
    <w:rsid w:val="00FA263F"/>
    <w:rsid w:val="00FA322F"/>
    <w:rsid w:val="00FA3588"/>
    <w:rsid w:val="00FA4779"/>
    <w:rsid w:val="00FA5A19"/>
    <w:rsid w:val="00FA69E7"/>
    <w:rsid w:val="00FA6E7A"/>
    <w:rsid w:val="00FB37EC"/>
    <w:rsid w:val="00FB40D2"/>
    <w:rsid w:val="00FC37D5"/>
    <w:rsid w:val="00FC4148"/>
    <w:rsid w:val="00FC6ADA"/>
    <w:rsid w:val="00FD17C4"/>
    <w:rsid w:val="00FD44F8"/>
    <w:rsid w:val="00FD66B8"/>
    <w:rsid w:val="00FD7604"/>
    <w:rsid w:val="00FD7F9A"/>
    <w:rsid w:val="00FE08A2"/>
    <w:rsid w:val="00FE68DA"/>
    <w:rsid w:val="00FE6E54"/>
    <w:rsid w:val="00FE7128"/>
    <w:rsid w:val="00FE7BBA"/>
    <w:rsid w:val="00FF1961"/>
    <w:rsid w:val="00FF1A50"/>
    <w:rsid w:val="00FF44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661266"/>
  <w15:chartTrackingRefBased/>
  <w15:docId w15:val="{B625C789-6E6A-48C9-AF74-5956C832B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084"/>
    <w:pPr>
      <w:spacing w:after="0" w:line="240" w:lineRule="auto"/>
      <w:jc w:val="both"/>
    </w:pPr>
    <w:rPr>
      <w:rFonts w:ascii="Arial" w:hAnsi="Arial"/>
      <w:sz w:val="24"/>
      <w:lang w:val="es-CO"/>
    </w:rPr>
  </w:style>
  <w:style w:type="paragraph" w:styleId="Ttulo1">
    <w:name w:val="heading 1"/>
    <w:basedOn w:val="Normal"/>
    <w:next w:val="Normal"/>
    <w:link w:val="Ttulo1Car"/>
    <w:uiPriority w:val="9"/>
    <w:qFormat/>
    <w:rsid w:val="00655573"/>
    <w:pPr>
      <w:keepNext/>
      <w:keepLines/>
      <w:numPr>
        <w:numId w:val="16"/>
      </w:numPr>
      <w:outlineLvl w:val="0"/>
    </w:pPr>
    <w:rPr>
      <w:rFonts w:eastAsia="Times New Roman" w:cs="Times New Roman"/>
      <w:b/>
      <w:color w:val="000000" w:themeColor="text1"/>
      <w:szCs w:val="32"/>
      <w:lang w:val="es-MX"/>
    </w:rPr>
  </w:style>
  <w:style w:type="paragraph" w:styleId="Ttulo2">
    <w:name w:val="heading 2"/>
    <w:aliases w:val="Titulo 2"/>
    <w:basedOn w:val="Normal"/>
    <w:next w:val="Normal"/>
    <w:link w:val="Ttulo2Car"/>
    <w:uiPriority w:val="9"/>
    <w:unhideWhenUsed/>
    <w:qFormat/>
    <w:rsid w:val="00655573"/>
    <w:pPr>
      <w:keepNext/>
      <w:keepLines/>
      <w:numPr>
        <w:ilvl w:val="1"/>
        <w:numId w:val="16"/>
      </w:numPr>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655573"/>
    <w:pPr>
      <w:keepNext/>
      <w:keepLines/>
      <w:numPr>
        <w:ilvl w:val="2"/>
        <w:numId w:val="16"/>
      </w:numPr>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630005"/>
    <w:pPr>
      <w:numPr>
        <w:ilvl w:val="3"/>
        <w:numId w:val="16"/>
      </w:numPr>
      <w:ind w:left="862" w:hanging="862"/>
      <w:outlineLvl w:val="3"/>
    </w:pPr>
    <w:rPr>
      <w:rFonts w:ascii="Arial Negrita" w:hAnsi="Arial Negrita" w:cs="Arial"/>
      <w:b/>
    </w:rPr>
  </w:style>
  <w:style w:type="paragraph" w:styleId="Ttulo5">
    <w:name w:val="heading 5"/>
    <w:basedOn w:val="Normal"/>
    <w:next w:val="Normal"/>
    <w:link w:val="Ttulo5Car"/>
    <w:uiPriority w:val="9"/>
    <w:unhideWhenUsed/>
    <w:qFormat/>
    <w:rsid w:val="002645CE"/>
    <w:pPr>
      <w:keepNext/>
      <w:keepLines/>
      <w:numPr>
        <w:ilvl w:val="4"/>
        <w:numId w:val="16"/>
      </w:numPr>
      <w:spacing w:before="40"/>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FA263F"/>
    <w:pPr>
      <w:keepNext/>
      <w:keepLines/>
      <w:numPr>
        <w:ilvl w:val="5"/>
        <w:numId w:val="16"/>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FA263F"/>
    <w:pPr>
      <w:keepNext/>
      <w:keepLines/>
      <w:numPr>
        <w:ilvl w:val="6"/>
        <w:numId w:val="16"/>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FA263F"/>
    <w:pPr>
      <w:keepNext/>
      <w:keepLines/>
      <w:numPr>
        <w:ilvl w:val="7"/>
        <w:numId w:val="16"/>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A263F"/>
    <w:pPr>
      <w:keepNext/>
      <w:keepLines/>
      <w:numPr>
        <w:ilvl w:val="8"/>
        <w:numId w:val="1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Titulo 2 Car"/>
    <w:basedOn w:val="Fuentedeprrafopredeter"/>
    <w:link w:val="Ttulo2"/>
    <w:uiPriority w:val="9"/>
    <w:rsid w:val="003A14CA"/>
    <w:rPr>
      <w:rFonts w:ascii="Arial" w:eastAsiaTheme="majorEastAsia" w:hAnsi="Arial" w:cstheme="majorBidi"/>
      <w:b/>
      <w:color w:val="000000" w:themeColor="text1"/>
      <w:sz w:val="24"/>
      <w:szCs w:val="26"/>
      <w:lang w:val="es-CO"/>
    </w:rPr>
  </w:style>
  <w:style w:type="character" w:customStyle="1" w:styleId="Ttulo1Car">
    <w:name w:val="Título 1 Car"/>
    <w:basedOn w:val="Fuentedeprrafopredeter"/>
    <w:link w:val="Ttulo1"/>
    <w:uiPriority w:val="9"/>
    <w:rsid w:val="00655573"/>
    <w:rPr>
      <w:rFonts w:ascii="Arial" w:eastAsia="Times New Roman" w:hAnsi="Arial" w:cs="Times New Roman"/>
      <w:b/>
      <w:color w:val="000000" w:themeColor="text1"/>
      <w:sz w:val="24"/>
      <w:szCs w:val="32"/>
      <w:lang w:val="es-MX"/>
    </w:rPr>
  </w:style>
  <w:style w:type="character" w:customStyle="1" w:styleId="Ttulo4Car">
    <w:name w:val="Título 4 Car"/>
    <w:basedOn w:val="Fuentedeprrafopredeter"/>
    <w:link w:val="Ttulo4"/>
    <w:uiPriority w:val="9"/>
    <w:rsid w:val="00630005"/>
    <w:rPr>
      <w:rFonts w:ascii="Arial Negrita" w:hAnsi="Arial Negrita" w:cs="Arial"/>
      <w:b/>
      <w:sz w:val="24"/>
      <w:lang w:val="es-CO"/>
    </w:rPr>
  </w:style>
  <w:style w:type="paragraph" w:customStyle="1" w:styleId="Fuente">
    <w:name w:val="Fuente"/>
    <w:link w:val="FuenteCar"/>
    <w:qFormat/>
    <w:rsid w:val="008A474B"/>
    <w:pPr>
      <w:spacing w:after="0" w:line="240" w:lineRule="auto"/>
      <w:jc w:val="center"/>
    </w:pPr>
    <w:rPr>
      <w:rFonts w:ascii="Arial" w:eastAsiaTheme="majorEastAsia" w:hAnsi="Arial" w:cstheme="majorBidi"/>
      <w:b/>
      <w:i/>
      <w:iCs/>
      <w:color w:val="000000" w:themeColor="text1"/>
      <w:sz w:val="16"/>
    </w:rPr>
  </w:style>
  <w:style w:type="character" w:customStyle="1" w:styleId="FuenteCar">
    <w:name w:val="Fuente Car"/>
    <w:basedOn w:val="Fuentedeprrafopredeter"/>
    <w:link w:val="Fuente"/>
    <w:rsid w:val="008A474B"/>
    <w:rPr>
      <w:rFonts w:ascii="Arial" w:eastAsiaTheme="majorEastAsia" w:hAnsi="Arial" w:cstheme="majorBidi"/>
      <w:b/>
      <w:i/>
      <w:iCs/>
      <w:color w:val="000000" w:themeColor="text1"/>
      <w:sz w:val="16"/>
    </w:rPr>
  </w:style>
  <w:style w:type="paragraph" w:customStyle="1" w:styleId="FigurayTabla">
    <w:name w:val="Figura y Tabla"/>
    <w:link w:val="FigurayTablaCar"/>
    <w:qFormat/>
    <w:rsid w:val="008A474B"/>
    <w:pPr>
      <w:spacing w:after="0" w:line="240" w:lineRule="auto"/>
      <w:jc w:val="center"/>
    </w:pPr>
    <w:rPr>
      <w:rFonts w:ascii="Arial" w:eastAsiaTheme="majorEastAsia" w:hAnsi="Arial" w:cstheme="majorBidi"/>
      <w:b/>
      <w:i/>
      <w:iCs/>
      <w:color w:val="000000" w:themeColor="text1"/>
      <w:sz w:val="18"/>
    </w:rPr>
  </w:style>
  <w:style w:type="character" w:customStyle="1" w:styleId="FigurayTablaCar">
    <w:name w:val="Figura y Tabla Car"/>
    <w:basedOn w:val="Fuentedeprrafopredeter"/>
    <w:link w:val="FigurayTabla"/>
    <w:rsid w:val="008A474B"/>
    <w:rPr>
      <w:rFonts w:ascii="Arial" w:eastAsiaTheme="majorEastAsia" w:hAnsi="Arial" w:cstheme="majorBidi"/>
      <w:b/>
      <w:i/>
      <w:iCs/>
      <w:color w:val="000000" w:themeColor="text1"/>
      <w:sz w:val="18"/>
    </w:rPr>
  </w:style>
  <w:style w:type="paragraph" w:customStyle="1" w:styleId="TablayFigura">
    <w:name w:val="Tabla y Figura"/>
    <w:link w:val="TablayFiguraCar"/>
    <w:rsid w:val="00641A62"/>
    <w:pPr>
      <w:spacing w:after="0" w:line="240" w:lineRule="auto"/>
      <w:jc w:val="center"/>
    </w:pPr>
    <w:rPr>
      <w:rFonts w:ascii="Arial" w:eastAsiaTheme="majorEastAsia" w:hAnsi="Arial" w:cstheme="majorBidi"/>
      <w:b/>
      <w:i/>
      <w:iCs/>
      <w:color w:val="000000" w:themeColor="text1"/>
      <w:sz w:val="20"/>
    </w:rPr>
  </w:style>
  <w:style w:type="character" w:customStyle="1" w:styleId="TablayFiguraCar">
    <w:name w:val="Tabla y Figura Car"/>
    <w:basedOn w:val="Fuentedeprrafopredeter"/>
    <w:link w:val="TablayFigura"/>
    <w:rsid w:val="00641A62"/>
    <w:rPr>
      <w:rFonts w:ascii="Arial" w:eastAsiaTheme="majorEastAsia" w:hAnsi="Arial" w:cstheme="majorBidi"/>
      <w:b/>
      <w:i/>
      <w:iCs/>
      <w:color w:val="000000" w:themeColor="text1"/>
      <w:sz w:val="20"/>
    </w:rPr>
  </w:style>
  <w:style w:type="character" w:customStyle="1" w:styleId="Ttulo3Car">
    <w:name w:val="Título 3 Car"/>
    <w:basedOn w:val="Fuentedeprrafopredeter"/>
    <w:link w:val="Ttulo3"/>
    <w:uiPriority w:val="9"/>
    <w:rsid w:val="00655573"/>
    <w:rPr>
      <w:rFonts w:ascii="Arial" w:eastAsiaTheme="majorEastAsia" w:hAnsi="Arial" w:cstheme="majorBidi"/>
      <w:b/>
      <w:color w:val="000000" w:themeColor="text1"/>
      <w:sz w:val="24"/>
      <w:szCs w:val="24"/>
      <w:lang w:val="es-CO"/>
    </w:rPr>
  </w:style>
  <w:style w:type="paragraph" w:styleId="Encabezado">
    <w:name w:val="header"/>
    <w:aliases w:val="encabezado,Alt Header,Encabezado Car Car,Encabezado Car Car Car Car Car,Encabezado Car Car Car,Encabezado1,h,Header Bold,TENDER,Encabezado2,Encabezado Linea 1,Haut de page,Encabezado11,encabezado1,Encabezado12,encabezado2,Encabezado111"/>
    <w:basedOn w:val="Normal"/>
    <w:link w:val="EncabezadoCar"/>
    <w:uiPriority w:val="99"/>
    <w:unhideWhenUsed/>
    <w:qFormat/>
    <w:rsid w:val="00146084"/>
    <w:pPr>
      <w:tabs>
        <w:tab w:val="center" w:pos="4419"/>
        <w:tab w:val="right" w:pos="8838"/>
      </w:tabs>
    </w:pPr>
  </w:style>
  <w:style w:type="character" w:customStyle="1" w:styleId="EncabezadoCar">
    <w:name w:val="Encabezado Car"/>
    <w:aliases w:val="encabezado Car,Alt Header Car,Encabezado Car Car Car1,Encabezado Car Car Car Car Car Car,Encabezado Car Car Car Car,Encabezado1 Car,h Car,Header Bold Car,TENDER Car,Encabezado2 Car,Encabezado Linea 1 Car,Haut de page Car,Encabezado11 Car"/>
    <w:basedOn w:val="Fuentedeprrafopredeter"/>
    <w:link w:val="Encabezado"/>
    <w:uiPriority w:val="99"/>
    <w:rsid w:val="00146084"/>
    <w:rPr>
      <w:rFonts w:ascii="Arial" w:hAnsi="Arial"/>
      <w:sz w:val="24"/>
    </w:rPr>
  </w:style>
  <w:style w:type="paragraph" w:styleId="Piedepgina">
    <w:name w:val="footer"/>
    <w:basedOn w:val="Normal"/>
    <w:link w:val="PiedepginaCar"/>
    <w:uiPriority w:val="99"/>
    <w:unhideWhenUsed/>
    <w:rsid w:val="00146084"/>
    <w:pPr>
      <w:tabs>
        <w:tab w:val="center" w:pos="4419"/>
        <w:tab w:val="right" w:pos="8838"/>
      </w:tabs>
    </w:pPr>
  </w:style>
  <w:style w:type="character" w:customStyle="1" w:styleId="PiedepginaCar">
    <w:name w:val="Pie de página Car"/>
    <w:basedOn w:val="Fuentedeprrafopredeter"/>
    <w:link w:val="Piedepgina"/>
    <w:uiPriority w:val="99"/>
    <w:rsid w:val="00146084"/>
    <w:rPr>
      <w:rFonts w:ascii="Arial" w:hAnsi="Arial"/>
      <w:sz w:val="24"/>
    </w:rPr>
  </w:style>
  <w:style w:type="character" w:styleId="Hipervnculo">
    <w:name w:val="Hyperlink"/>
    <w:basedOn w:val="Fuentedeprrafopredeter"/>
    <w:uiPriority w:val="99"/>
    <w:unhideWhenUsed/>
    <w:rsid w:val="00146084"/>
    <w:rPr>
      <w:color w:val="0563C1" w:themeColor="hyperlink"/>
      <w:u w:val="single"/>
    </w:rPr>
  </w:style>
  <w:style w:type="paragraph" w:styleId="TDC1">
    <w:name w:val="toc 1"/>
    <w:basedOn w:val="Normal"/>
    <w:next w:val="Normal"/>
    <w:autoRedefine/>
    <w:uiPriority w:val="39"/>
    <w:unhideWhenUsed/>
    <w:qFormat/>
    <w:rsid w:val="00146084"/>
    <w:pPr>
      <w:spacing w:after="100"/>
    </w:pPr>
    <w:rPr>
      <w:b/>
      <w:sz w:val="22"/>
    </w:rPr>
  </w:style>
  <w:style w:type="paragraph" w:styleId="TDC2">
    <w:name w:val="toc 2"/>
    <w:basedOn w:val="Normal"/>
    <w:next w:val="Normal"/>
    <w:autoRedefine/>
    <w:uiPriority w:val="39"/>
    <w:unhideWhenUsed/>
    <w:rsid w:val="00146084"/>
    <w:pPr>
      <w:spacing w:after="100"/>
      <w:ind w:left="240"/>
    </w:pPr>
    <w:rPr>
      <w:sz w:val="22"/>
    </w:rPr>
  </w:style>
  <w:style w:type="paragraph" w:styleId="TDC3">
    <w:name w:val="toc 3"/>
    <w:basedOn w:val="Normal"/>
    <w:next w:val="Normal"/>
    <w:autoRedefine/>
    <w:uiPriority w:val="39"/>
    <w:unhideWhenUsed/>
    <w:rsid w:val="00146084"/>
    <w:pPr>
      <w:spacing w:after="100"/>
      <w:ind w:left="480"/>
    </w:pPr>
    <w:rPr>
      <w:sz w:val="22"/>
    </w:rPr>
  </w:style>
  <w:style w:type="paragraph" w:styleId="Tabladeilustraciones">
    <w:name w:val="table of figures"/>
    <w:basedOn w:val="Normal"/>
    <w:next w:val="Normal"/>
    <w:uiPriority w:val="99"/>
    <w:unhideWhenUsed/>
    <w:rsid w:val="00146084"/>
    <w:pPr>
      <w:jc w:val="left"/>
    </w:pPr>
    <w:rPr>
      <w:sz w:val="22"/>
    </w:rPr>
  </w:style>
  <w:style w:type="paragraph" w:styleId="Prrafodelista">
    <w:name w:val="List Paragraph"/>
    <w:aliases w:val="Adicional,Bolita,List Paragraph,Chulito,BOLA,BOLADEF,Párrafo de lista3,Párrafo de lista21,Párrafo de lista2,Guión,Titulo 8,Viñeta 2,Lista multicolor - Énfasis 11,Titulo 1,Tercera viñeta,Tercer nivel de viñeta,HOJA,Párrafo de lista1"/>
    <w:basedOn w:val="Normal"/>
    <w:link w:val="PrrafodelistaCar"/>
    <w:uiPriority w:val="34"/>
    <w:qFormat/>
    <w:rsid w:val="00146084"/>
    <w:pPr>
      <w:ind w:left="720"/>
      <w:contextualSpacing/>
    </w:pPr>
  </w:style>
  <w:style w:type="character" w:customStyle="1" w:styleId="PrrafodelistaCar">
    <w:name w:val="Párrafo de lista Car"/>
    <w:aliases w:val="Adicional Car,Bolita Car,List Paragraph Car,Chulito Car,BOLA Car,BOLADEF Car,Párrafo de lista3 Car,Párrafo de lista21 Car,Párrafo de lista2 Car,Guión Car,Titulo 8 Car,Viñeta 2 Car,Lista multicolor - Énfasis 11 Car,Titulo 1 Car"/>
    <w:basedOn w:val="Fuentedeprrafopredeter"/>
    <w:link w:val="Prrafodelista"/>
    <w:uiPriority w:val="34"/>
    <w:locked/>
    <w:rsid w:val="00146084"/>
    <w:rPr>
      <w:rFonts w:ascii="Arial" w:hAnsi="Arial"/>
      <w:sz w:val="24"/>
      <w:lang w:val="es-CO"/>
    </w:rPr>
  </w:style>
  <w:style w:type="character" w:customStyle="1" w:styleId="FigurasCar">
    <w:name w:val="Figuras Car"/>
    <w:basedOn w:val="Fuentedeprrafopredeter"/>
    <w:link w:val="Figuras"/>
    <w:locked/>
    <w:rsid w:val="00113126"/>
    <w:rPr>
      <w:rFonts w:ascii="Arial" w:hAnsi="Arial" w:cs="Arial"/>
      <w:b/>
      <w:bCs/>
      <w:i/>
      <w:iCs/>
      <w:noProof/>
      <w:sz w:val="18"/>
      <w:szCs w:val="18"/>
    </w:rPr>
  </w:style>
  <w:style w:type="paragraph" w:customStyle="1" w:styleId="Figuras">
    <w:name w:val="Figuras"/>
    <w:basedOn w:val="Prrafodelista"/>
    <w:link w:val="FigurasCar"/>
    <w:autoRedefine/>
    <w:qFormat/>
    <w:rsid w:val="00113126"/>
    <w:pPr>
      <w:tabs>
        <w:tab w:val="left" w:pos="284"/>
        <w:tab w:val="left" w:pos="993"/>
        <w:tab w:val="left" w:pos="7655"/>
      </w:tabs>
      <w:ind w:left="0" w:right="49"/>
      <w:contextualSpacing w:val="0"/>
      <w:jc w:val="center"/>
    </w:pPr>
    <w:rPr>
      <w:rFonts w:cs="Arial"/>
      <w:b/>
      <w:bCs/>
      <w:i/>
      <w:iCs/>
      <w:noProof/>
      <w:sz w:val="18"/>
      <w:szCs w:val="18"/>
      <w:lang w:val="en-US"/>
    </w:rPr>
  </w:style>
  <w:style w:type="paragraph" w:styleId="Descripcin">
    <w:name w:val="caption"/>
    <w:aliases w:val="Tabla,Figura o Fotografía"/>
    <w:basedOn w:val="Normal"/>
    <w:next w:val="Normal"/>
    <w:link w:val="DescripcinCar"/>
    <w:autoRedefine/>
    <w:uiPriority w:val="35"/>
    <w:unhideWhenUsed/>
    <w:qFormat/>
    <w:rsid w:val="00113126"/>
    <w:pPr>
      <w:jc w:val="center"/>
    </w:pPr>
    <w:rPr>
      <w:b/>
      <w:i/>
      <w:iCs/>
      <w:color w:val="000000" w:themeColor="text1"/>
      <w:sz w:val="20"/>
      <w:szCs w:val="18"/>
      <w:lang w:val="es-MX"/>
    </w:rPr>
  </w:style>
  <w:style w:type="character" w:customStyle="1" w:styleId="DescripcinCar">
    <w:name w:val="Descripción Car"/>
    <w:aliases w:val="Tabla Car,Figura o Fotografía Car"/>
    <w:basedOn w:val="Fuentedeprrafopredeter"/>
    <w:link w:val="Descripcin"/>
    <w:uiPriority w:val="35"/>
    <w:rsid w:val="00113126"/>
    <w:rPr>
      <w:rFonts w:ascii="Arial" w:hAnsi="Arial"/>
      <w:b/>
      <w:i/>
      <w:iCs/>
      <w:color w:val="000000" w:themeColor="text1"/>
      <w:sz w:val="20"/>
      <w:szCs w:val="18"/>
      <w:lang w:val="es-MX"/>
    </w:rPr>
  </w:style>
  <w:style w:type="table" w:styleId="Tablaconcuadrcula">
    <w:name w:val="Table Grid"/>
    <w:basedOn w:val="Tablanormal"/>
    <w:uiPriority w:val="39"/>
    <w:rsid w:val="001131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EB4017"/>
    <w:rPr>
      <w:vertAlign w:val="superscript"/>
    </w:rPr>
  </w:style>
  <w:style w:type="paragraph" w:styleId="Textonotapie">
    <w:name w:val="footnote text"/>
    <w:basedOn w:val="Normal"/>
    <w:link w:val="TextonotapieCar"/>
    <w:uiPriority w:val="99"/>
    <w:semiHidden/>
    <w:unhideWhenUsed/>
    <w:rsid w:val="00EB4017"/>
    <w:rPr>
      <w:sz w:val="20"/>
      <w:szCs w:val="20"/>
    </w:rPr>
  </w:style>
  <w:style w:type="character" w:customStyle="1" w:styleId="TextonotapieCar">
    <w:name w:val="Texto nota pie Car"/>
    <w:basedOn w:val="Fuentedeprrafopredeter"/>
    <w:link w:val="Textonotapie"/>
    <w:uiPriority w:val="99"/>
    <w:semiHidden/>
    <w:rsid w:val="00EB4017"/>
    <w:rPr>
      <w:rFonts w:ascii="Arial" w:hAnsi="Arial"/>
      <w:sz w:val="20"/>
      <w:szCs w:val="20"/>
      <w:lang w:val="es-CO"/>
    </w:rPr>
  </w:style>
  <w:style w:type="character" w:styleId="Refdecomentario">
    <w:name w:val="annotation reference"/>
    <w:basedOn w:val="Fuentedeprrafopredeter"/>
    <w:uiPriority w:val="99"/>
    <w:semiHidden/>
    <w:unhideWhenUsed/>
    <w:rsid w:val="00056D2A"/>
    <w:rPr>
      <w:sz w:val="16"/>
      <w:szCs w:val="16"/>
    </w:rPr>
  </w:style>
  <w:style w:type="paragraph" w:styleId="Textocomentario">
    <w:name w:val="annotation text"/>
    <w:basedOn w:val="Normal"/>
    <w:link w:val="TextocomentarioCar"/>
    <w:uiPriority w:val="99"/>
    <w:semiHidden/>
    <w:unhideWhenUsed/>
    <w:rsid w:val="00056D2A"/>
    <w:rPr>
      <w:sz w:val="20"/>
      <w:szCs w:val="20"/>
    </w:rPr>
  </w:style>
  <w:style w:type="character" w:customStyle="1" w:styleId="TextocomentarioCar">
    <w:name w:val="Texto comentario Car"/>
    <w:basedOn w:val="Fuentedeprrafopredeter"/>
    <w:link w:val="Textocomentario"/>
    <w:uiPriority w:val="99"/>
    <w:semiHidden/>
    <w:rsid w:val="00056D2A"/>
    <w:rPr>
      <w:rFonts w:ascii="Arial" w:hAnsi="Arial"/>
      <w:sz w:val="20"/>
      <w:szCs w:val="20"/>
      <w:lang w:val="es-CO"/>
    </w:rPr>
  </w:style>
  <w:style w:type="paragraph" w:styleId="Asuntodelcomentario">
    <w:name w:val="annotation subject"/>
    <w:basedOn w:val="Textocomentario"/>
    <w:next w:val="Textocomentario"/>
    <w:link w:val="AsuntodelcomentarioCar"/>
    <w:uiPriority w:val="99"/>
    <w:semiHidden/>
    <w:unhideWhenUsed/>
    <w:rsid w:val="00056D2A"/>
    <w:rPr>
      <w:b/>
      <w:bCs/>
    </w:rPr>
  </w:style>
  <w:style w:type="character" w:customStyle="1" w:styleId="AsuntodelcomentarioCar">
    <w:name w:val="Asunto del comentario Car"/>
    <w:basedOn w:val="TextocomentarioCar"/>
    <w:link w:val="Asuntodelcomentario"/>
    <w:uiPriority w:val="99"/>
    <w:semiHidden/>
    <w:rsid w:val="00056D2A"/>
    <w:rPr>
      <w:rFonts w:ascii="Arial" w:hAnsi="Arial"/>
      <w:b/>
      <w:bCs/>
      <w:sz w:val="20"/>
      <w:szCs w:val="20"/>
      <w:lang w:val="es-CO"/>
    </w:rPr>
  </w:style>
  <w:style w:type="paragraph" w:styleId="Textodeglobo">
    <w:name w:val="Balloon Text"/>
    <w:basedOn w:val="Normal"/>
    <w:link w:val="TextodegloboCar"/>
    <w:uiPriority w:val="99"/>
    <w:semiHidden/>
    <w:unhideWhenUsed/>
    <w:rsid w:val="00056D2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6D2A"/>
    <w:rPr>
      <w:rFonts w:ascii="Segoe UI" w:hAnsi="Segoe UI" w:cs="Segoe UI"/>
      <w:sz w:val="18"/>
      <w:szCs w:val="18"/>
      <w:lang w:val="es-CO"/>
    </w:rPr>
  </w:style>
  <w:style w:type="paragraph" w:styleId="TDC4">
    <w:name w:val="toc 4"/>
    <w:basedOn w:val="Normal"/>
    <w:next w:val="Normal"/>
    <w:autoRedefine/>
    <w:uiPriority w:val="39"/>
    <w:unhideWhenUsed/>
    <w:rsid w:val="000F147D"/>
    <w:pPr>
      <w:spacing w:after="100"/>
      <w:ind w:left="720"/>
    </w:pPr>
  </w:style>
  <w:style w:type="character" w:customStyle="1" w:styleId="Ttulo5Car">
    <w:name w:val="Título 5 Car"/>
    <w:basedOn w:val="Fuentedeprrafopredeter"/>
    <w:link w:val="Ttulo5"/>
    <w:uiPriority w:val="9"/>
    <w:rsid w:val="002645CE"/>
    <w:rPr>
      <w:rFonts w:ascii="Arial" w:eastAsiaTheme="majorEastAsia" w:hAnsi="Arial" w:cstheme="majorBidi"/>
      <w:b/>
      <w:i/>
      <w:sz w:val="24"/>
      <w:lang w:val="es-CO"/>
    </w:rPr>
  </w:style>
  <w:style w:type="character" w:customStyle="1" w:styleId="Ttulo6Car">
    <w:name w:val="Título 6 Car"/>
    <w:basedOn w:val="Fuentedeprrafopredeter"/>
    <w:link w:val="Ttulo6"/>
    <w:uiPriority w:val="9"/>
    <w:semiHidden/>
    <w:rsid w:val="00FA263F"/>
    <w:rPr>
      <w:rFonts w:asciiTheme="majorHAnsi" w:eastAsiaTheme="majorEastAsia" w:hAnsiTheme="majorHAnsi" w:cstheme="majorBidi"/>
      <w:color w:val="1F4D78" w:themeColor="accent1" w:themeShade="7F"/>
      <w:sz w:val="24"/>
      <w:lang w:val="es-CO"/>
    </w:rPr>
  </w:style>
  <w:style w:type="character" w:customStyle="1" w:styleId="Ttulo7Car">
    <w:name w:val="Título 7 Car"/>
    <w:basedOn w:val="Fuentedeprrafopredeter"/>
    <w:link w:val="Ttulo7"/>
    <w:uiPriority w:val="9"/>
    <w:semiHidden/>
    <w:rsid w:val="00FA263F"/>
    <w:rPr>
      <w:rFonts w:asciiTheme="majorHAnsi" w:eastAsiaTheme="majorEastAsia" w:hAnsiTheme="majorHAnsi" w:cstheme="majorBidi"/>
      <w:i/>
      <w:iCs/>
      <w:color w:val="1F4D78" w:themeColor="accent1" w:themeShade="7F"/>
      <w:sz w:val="24"/>
      <w:lang w:val="es-CO"/>
    </w:rPr>
  </w:style>
  <w:style w:type="character" w:customStyle="1" w:styleId="Ttulo8Car">
    <w:name w:val="Título 8 Car"/>
    <w:basedOn w:val="Fuentedeprrafopredeter"/>
    <w:link w:val="Ttulo8"/>
    <w:uiPriority w:val="9"/>
    <w:semiHidden/>
    <w:rsid w:val="00FA263F"/>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FA263F"/>
    <w:rPr>
      <w:rFonts w:asciiTheme="majorHAnsi" w:eastAsiaTheme="majorEastAsia" w:hAnsiTheme="majorHAnsi" w:cstheme="majorBidi"/>
      <w:i/>
      <w:iCs/>
      <w:color w:val="272727" w:themeColor="text1" w:themeTint="D8"/>
      <w:sz w:val="21"/>
      <w:szCs w:val="21"/>
      <w:lang w:val="es-CO"/>
    </w:rPr>
  </w:style>
  <w:style w:type="character" w:customStyle="1" w:styleId="A5">
    <w:name w:val="A5"/>
    <w:uiPriority w:val="99"/>
    <w:rsid w:val="00E45FE5"/>
    <w:rPr>
      <w:rFonts w:cs="Corbel"/>
      <w:color w:val="000000"/>
      <w:sz w:val="20"/>
      <w:szCs w:val="20"/>
    </w:rPr>
  </w:style>
  <w:style w:type="character" w:styleId="Mencinsinresolver">
    <w:name w:val="Unresolved Mention"/>
    <w:basedOn w:val="Fuentedeprrafopredeter"/>
    <w:uiPriority w:val="99"/>
    <w:semiHidden/>
    <w:unhideWhenUsed/>
    <w:rsid w:val="00444C39"/>
    <w:rPr>
      <w:color w:val="605E5C"/>
      <w:shd w:val="clear" w:color="auto" w:fill="E1DFDD"/>
    </w:rPr>
  </w:style>
  <w:style w:type="paragraph" w:styleId="TDC5">
    <w:name w:val="toc 5"/>
    <w:basedOn w:val="Normal"/>
    <w:next w:val="Normal"/>
    <w:autoRedefine/>
    <w:uiPriority w:val="39"/>
    <w:unhideWhenUsed/>
    <w:rsid w:val="00F36645"/>
    <w:pPr>
      <w:spacing w:after="100"/>
      <w:ind w:left="960"/>
    </w:pPr>
  </w:style>
  <w:style w:type="paragraph" w:customStyle="1" w:styleId="Default">
    <w:name w:val="Default"/>
    <w:rsid w:val="00FD7F9A"/>
    <w:pPr>
      <w:autoSpaceDE w:val="0"/>
      <w:autoSpaceDN w:val="0"/>
      <w:adjustRightInd w:val="0"/>
      <w:spacing w:after="0" w:line="240" w:lineRule="auto"/>
    </w:pPr>
    <w:rPr>
      <w:rFonts w:ascii="Times New Roman" w:hAnsi="Times New Roman" w:cs="Times New Roman"/>
      <w:color w:val="000000"/>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129">
      <w:bodyDiv w:val="1"/>
      <w:marLeft w:val="0"/>
      <w:marRight w:val="0"/>
      <w:marTop w:val="0"/>
      <w:marBottom w:val="0"/>
      <w:divBdr>
        <w:top w:val="none" w:sz="0" w:space="0" w:color="auto"/>
        <w:left w:val="none" w:sz="0" w:space="0" w:color="auto"/>
        <w:bottom w:val="none" w:sz="0" w:space="0" w:color="auto"/>
        <w:right w:val="none" w:sz="0" w:space="0" w:color="auto"/>
      </w:divBdr>
    </w:div>
    <w:div w:id="20211835">
      <w:bodyDiv w:val="1"/>
      <w:marLeft w:val="0"/>
      <w:marRight w:val="0"/>
      <w:marTop w:val="0"/>
      <w:marBottom w:val="0"/>
      <w:divBdr>
        <w:top w:val="none" w:sz="0" w:space="0" w:color="auto"/>
        <w:left w:val="none" w:sz="0" w:space="0" w:color="auto"/>
        <w:bottom w:val="none" w:sz="0" w:space="0" w:color="auto"/>
        <w:right w:val="none" w:sz="0" w:space="0" w:color="auto"/>
      </w:divBdr>
    </w:div>
    <w:div w:id="62988637">
      <w:bodyDiv w:val="1"/>
      <w:marLeft w:val="0"/>
      <w:marRight w:val="0"/>
      <w:marTop w:val="0"/>
      <w:marBottom w:val="0"/>
      <w:divBdr>
        <w:top w:val="none" w:sz="0" w:space="0" w:color="auto"/>
        <w:left w:val="none" w:sz="0" w:space="0" w:color="auto"/>
        <w:bottom w:val="none" w:sz="0" w:space="0" w:color="auto"/>
        <w:right w:val="none" w:sz="0" w:space="0" w:color="auto"/>
      </w:divBdr>
    </w:div>
    <w:div w:id="185411373">
      <w:bodyDiv w:val="1"/>
      <w:marLeft w:val="0"/>
      <w:marRight w:val="0"/>
      <w:marTop w:val="0"/>
      <w:marBottom w:val="0"/>
      <w:divBdr>
        <w:top w:val="none" w:sz="0" w:space="0" w:color="auto"/>
        <w:left w:val="none" w:sz="0" w:space="0" w:color="auto"/>
        <w:bottom w:val="none" w:sz="0" w:space="0" w:color="auto"/>
        <w:right w:val="none" w:sz="0" w:space="0" w:color="auto"/>
      </w:divBdr>
    </w:div>
    <w:div w:id="236984244">
      <w:bodyDiv w:val="1"/>
      <w:marLeft w:val="0"/>
      <w:marRight w:val="0"/>
      <w:marTop w:val="0"/>
      <w:marBottom w:val="0"/>
      <w:divBdr>
        <w:top w:val="none" w:sz="0" w:space="0" w:color="auto"/>
        <w:left w:val="none" w:sz="0" w:space="0" w:color="auto"/>
        <w:bottom w:val="none" w:sz="0" w:space="0" w:color="auto"/>
        <w:right w:val="none" w:sz="0" w:space="0" w:color="auto"/>
      </w:divBdr>
    </w:div>
    <w:div w:id="245268265">
      <w:bodyDiv w:val="1"/>
      <w:marLeft w:val="0"/>
      <w:marRight w:val="0"/>
      <w:marTop w:val="0"/>
      <w:marBottom w:val="0"/>
      <w:divBdr>
        <w:top w:val="none" w:sz="0" w:space="0" w:color="auto"/>
        <w:left w:val="none" w:sz="0" w:space="0" w:color="auto"/>
        <w:bottom w:val="none" w:sz="0" w:space="0" w:color="auto"/>
        <w:right w:val="none" w:sz="0" w:space="0" w:color="auto"/>
      </w:divBdr>
    </w:div>
    <w:div w:id="358514155">
      <w:bodyDiv w:val="1"/>
      <w:marLeft w:val="0"/>
      <w:marRight w:val="0"/>
      <w:marTop w:val="0"/>
      <w:marBottom w:val="0"/>
      <w:divBdr>
        <w:top w:val="none" w:sz="0" w:space="0" w:color="auto"/>
        <w:left w:val="none" w:sz="0" w:space="0" w:color="auto"/>
        <w:bottom w:val="none" w:sz="0" w:space="0" w:color="auto"/>
        <w:right w:val="none" w:sz="0" w:space="0" w:color="auto"/>
      </w:divBdr>
    </w:div>
    <w:div w:id="501044214">
      <w:bodyDiv w:val="1"/>
      <w:marLeft w:val="0"/>
      <w:marRight w:val="0"/>
      <w:marTop w:val="0"/>
      <w:marBottom w:val="0"/>
      <w:divBdr>
        <w:top w:val="none" w:sz="0" w:space="0" w:color="auto"/>
        <w:left w:val="none" w:sz="0" w:space="0" w:color="auto"/>
        <w:bottom w:val="none" w:sz="0" w:space="0" w:color="auto"/>
        <w:right w:val="none" w:sz="0" w:space="0" w:color="auto"/>
      </w:divBdr>
    </w:div>
    <w:div w:id="524710547">
      <w:bodyDiv w:val="1"/>
      <w:marLeft w:val="0"/>
      <w:marRight w:val="0"/>
      <w:marTop w:val="0"/>
      <w:marBottom w:val="0"/>
      <w:divBdr>
        <w:top w:val="none" w:sz="0" w:space="0" w:color="auto"/>
        <w:left w:val="none" w:sz="0" w:space="0" w:color="auto"/>
        <w:bottom w:val="none" w:sz="0" w:space="0" w:color="auto"/>
        <w:right w:val="none" w:sz="0" w:space="0" w:color="auto"/>
      </w:divBdr>
    </w:div>
    <w:div w:id="584728681">
      <w:bodyDiv w:val="1"/>
      <w:marLeft w:val="0"/>
      <w:marRight w:val="0"/>
      <w:marTop w:val="0"/>
      <w:marBottom w:val="0"/>
      <w:divBdr>
        <w:top w:val="none" w:sz="0" w:space="0" w:color="auto"/>
        <w:left w:val="none" w:sz="0" w:space="0" w:color="auto"/>
        <w:bottom w:val="none" w:sz="0" w:space="0" w:color="auto"/>
        <w:right w:val="none" w:sz="0" w:space="0" w:color="auto"/>
      </w:divBdr>
    </w:div>
    <w:div w:id="718475841">
      <w:bodyDiv w:val="1"/>
      <w:marLeft w:val="0"/>
      <w:marRight w:val="0"/>
      <w:marTop w:val="0"/>
      <w:marBottom w:val="0"/>
      <w:divBdr>
        <w:top w:val="none" w:sz="0" w:space="0" w:color="auto"/>
        <w:left w:val="none" w:sz="0" w:space="0" w:color="auto"/>
        <w:bottom w:val="none" w:sz="0" w:space="0" w:color="auto"/>
        <w:right w:val="none" w:sz="0" w:space="0" w:color="auto"/>
      </w:divBdr>
    </w:div>
    <w:div w:id="742719813">
      <w:bodyDiv w:val="1"/>
      <w:marLeft w:val="0"/>
      <w:marRight w:val="0"/>
      <w:marTop w:val="0"/>
      <w:marBottom w:val="0"/>
      <w:divBdr>
        <w:top w:val="none" w:sz="0" w:space="0" w:color="auto"/>
        <w:left w:val="none" w:sz="0" w:space="0" w:color="auto"/>
        <w:bottom w:val="none" w:sz="0" w:space="0" w:color="auto"/>
        <w:right w:val="none" w:sz="0" w:space="0" w:color="auto"/>
      </w:divBdr>
    </w:div>
    <w:div w:id="749736324">
      <w:bodyDiv w:val="1"/>
      <w:marLeft w:val="0"/>
      <w:marRight w:val="0"/>
      <w:marTop w:val="0"/>
      <w:marBottom w:val="0"/>
      <w:divBdr>
        <w:top w:val="none" w:sz="0" w:space="0" w:color="auto"/>
        <w:left w:val="none" w:sz="0" w:space="0" w:color="auto"/>
        <w:bottom w:val="none" w:sz="0" w:space="0" w:color="auto"/>
        <w:right w:val="none" w:sz="0" w:space="0" w:color="auto"/>
      </w:divBdr>
    </w:div>
    <w:div w:id="755906978">
      <w:bodyDiv w:val="1"/>
      <w:marLeft w:val="0"/>
      <w:marRight w:val="0"/>
      <w:marTop w:val="0"/>
      <w:marBottom w:val="0"/>
      <w:divBdr>
        <w:top w:val="none" w:sz="0" w:space="0" w:color="auto"/>
        <w:left w:val="none" w:sz="0" w:space="0" w:color="auto"/>
        <w:bottom w:val="none" w:sz="0" w:space="0" w:color="auto"/>
        <w:right w:val="none" w:sz="0" w:space="0" w:color="auto"/>
      </w:divBdr>
    </w:div>
    <w:div w:id="787820646">
      <w:bodyDiv w:val="1"/>
      <w:marLeft w:val="0"/>
      <w:marRight w:val="0"/>
      <w:marTop w:val="0"/>
      <w:marBottom w:val="0"/>
      <w:divBdr>
        <w:top w:val="none" w:sz="0" w:space="0" w:color="auto"/>
        <w:left w:val="none" w:sz="0" w:space="0" w:color="auto"/>
        <w:bottom w:val="none" w:sz="0" w:space="0" w:color="auto"/>
        <w:right w:val="none" w:sz="0" w:space="0" w:color="auto"/>
      </w:divBdr>
    </w:div>
    <w:div w:id="790368878">
      <w:bodyDiv w:val="1"/>
      <w:marLeft w:val="0"/>
      <w:marRight w:val="0"/>
      <w:marTop w:val="0"/>
      <w:marBottom w:val="0"/>
      <w:divBdr>
        <w:top w:val="none" w:sz="0" w:space="0" w:color="auto"/>
        <w:left w:val="none" w:sz="0" w:space="0" w:color="auto"/>
        <w:bottom w:val="none" w:sz="0" w:space="0" w:color="auto"/>
        <w:right w:val="none" w:sz="0" w:space="0" w:color="auto"/>
      </w:divBdr>
    </w:div>
    <w:div w:id="791828153">
      <w:bodyDiv w:val="1"/>
      <w:marLeft w:val="0"/>
      <w:marRight w:val="0"/>
      <w:marTop w:val="0"/>
      <w:marBottom w:val="0"/>
      <w:divBdr>
        <w:top w:val="none" w:sz="0" w:space="0" w:color="auto"/>
        <w:left w:val="none" w:sz="0" w:space="0" w:color="auto"/>
        <w:bottom w:val="none" w:sz="0" w:space="0" w:color="auto"/>
        <w:right w:val="none" w:sz="0" w:space="0" w:color="auto"/>
      </w:divBdr>
    </w:div>
    <w:div w:id="839781070">
      <w:bodyDiv w:val="1"/>
      <w:marLeft w:val="0"/>
      <w:marRight w:val="0"/>
      <w:marTop w:val="0"/>
      <w:marBottom w:val="0"/>
      <w:divBdr>
        <w:top w:val="none" w:sz="0" w:space="0" w:color="auto"/>
        <w:left w:val="none" w:sz="0" w:space="0" w:color="auto"/>
        <w:bottom w:val="none" w:sz="0" w:space="0" w:color="auto"/>
        <w:right w:val="none" w:sz="0" w:space="0" w:color="auto"/>
      </w:divBdr>
    </w:div>
    <w:div w:id="847408197">
      <w:bodyDiv w:val="1"/>
      <w:marLeft w:val="0"/>
      <w:marRight w:val="0"/>
      <w:marTop w:val="0"/>
      <w:marBottom w:val="0"/>
      <w:divBdr>
        <w:top w:val="none" w:sz="0" w:space="0" w:color="auto"/>
        <w:left w:val="none" w:sz="0" w:space="0" w:color="auto"/>
        <w:bottom w:val="none" w:sz="0" w:space="0" w:color="auto"/>
        <w:right w:val="none" w:sz="0" w:space="0" w:color="auto"/>
      </w:divBdr>
    </w:div>
    <w:div w:id="908537125">
      <w:bodyDiv w:val="1"/>
      <w:marLeft w:val="0"/>
      <w:marRight w:val="0"/>
      <w:marTop w:val="0"/>
      <w:marBottom w:val="0"/>
      <w:divBdr>
        <w:top w:val="none" w:sz="0" w:space="0" w:color="auto"/>
        <w:left w:val="none" w:sz="0" w:space="0" w:color="auto"/>
        <w:bottom w:val="none" w:sz="0" w:space="0" w:color="auto"/>
        <w:right w:val="none" w:sz="0" w:space="0" w:color="auto"/>
      </w:divBdr>
    </w:div>
    <w:div w:id="913012256">
      <w:bodyDiv w:val="1"/>
      <w:marLeft w:val="0"/>
      <w:marRight w:val="0"/>
      <w:marTop w:val="0"/>
      <w:marBottom w:val="0"/>
      <w:divBdr>
        <w:top w:val="none" w:sz="0" w:space="0" w:color="auto"/>
        <w:left w:val="none" w:sz="0" w:space="0" w:color="auto"/>
        <w:bottom w:val="none" w:sz="0" w:space="0" w:color="auto"/>
        <w:right w:val="none" w:sz="0" w:space="0" w:color="auto"/>
      </w:divBdr>
    </w:div>
    <w:div w:id="923804971">
      <w:bodyDiv w:val="1"/>
      <w:marLeft w:val="0"/>
      <w:marRight w:val="0"/>
      <w:marTop w:val="0"/>
      <w:marBottom w:val="0"/>
      <w:divBdr>
        <w:top w:val="none" w:sz="0" w:space="0" w:color="auto"/>
        <w:left w:val="none" w:sz="0" w:space="0" w:color="auto"/>
        <w:bottom w:val="none" w:sz="0" w:space="0" w:color="auto"/>
        <w:right w:val="none" w:sz="0" w:space="0" w:color="auto"/>
      </w:divBdr>
    </w:div>
    <w:div w:id="948513545">
      <w:bodyDiv w:val="1"/>
      <w:marLeft w:val="0"/>
      <w:marRight w:val="0"/>
      <w:marTop w:val="0"/>
      <w:marBottom w:val="0"/>
      <w:divBdr>
        <w:top w:val="none" w:sz="0" w:space="0" w:color="auto"/>
        <w:left w:val="none" w:sz="0" w:space="0" w:color="auto"/>
        <w:bottom w:val="none" w:sz="0" w:space="0" w:color="auto"/>
        <w:right w:val="none" w:sz="0" w:space="0" w:color="auto"/>
      </w:divBdr>
    </w:div>
    <w:div w:id="967852798">
      <w:bodyDiv w:val="1"/>
      <w:marLeft w:val="0"/>
      <w:marRight w:val="0"/>
      <w:marTop w:val="0"/>
      <w:marBottom w:val="0"/>
      <w:divBdr>
        <w:top w:val="none" w:sz="0" w:space="0" w:color="auto"/>
        <w:left w:val="none" w:sz="0" w:space="0" w:color="auto"/>
        <w:bottom w:val="none" w:sz="0" w:space="0" w:color="auto"/>
        <w:right w:val="none" w:sz="0" w:space="0" w:color="auto"/>
      </w:divBdr>
    </w:div>
    <w:div w:id="995962432">
      <w:bodyDiv w:val="1"/>
      <w:marLeft w:val="0"/>
      <w:marRight w:val="0"/>
      <w:marTop w:val="0"/>
      <w:marBottom w:val="0"/>
      <w:divBdr>
        <w:top w:val="none" w:sz="0" w:space="0" w:color="auto"/>
        <w:left w:val="none" w:sz="0" w:space="0" w:color="auto"/>
        <w:bottom w:val="none" w:sz="0" w:space="0" w:color="auto"/>
        <w:right w:val="none" w:sz="0" w:space="0" w:color="auto"/>
      </w:divBdr>
    </w:div>
    <w:div w:id="1044603643">
      <w:bodyDiv w:val="1"/>
      <w:marLeft w:val="0"/>
      <w:marRight w:val="0"/>
      <w:marTop w:val="0"/>
      <w:marBottom w:val="0"/>
      <w:divBdr>
        <w:top w:val="none" w:sz="0" w:space="0" w:color="auto"/>
        <w:left w:val="none" w:sz="0" w:space="0" w:color="auto"/>
        <w:bottom w:val="none" w:sz="0" w:space="0" w:color="auto"/>
        <w:right w:val="none" w:sz="0" w:space="0" w:color="auto"/>
      </w:divBdr>
    </w:div>
    <w:div w:id="1064328012">
      <w:bodyDiv w:val="1"/>
      <w:marLeft w:val="0"/>
      <w:marRight w:val="0"/>
      <w:marTop w:val="0"/>
      <w:marBottom w:val="0"/>
      <w:divBdr>
        <w:top w:val="none" w:sz="0" w:space="0" w:color="auto"/>
        <w:left w:val="none" w:sz="0" w:space="0" w:color="auto"/>
        <w:bottom w:val="none" w:sz="0" w:space="0" w:color="auto"/>
        <w:right w:val="none" w:sz="0" w:space="0" w:color="auto"/>
      </w:divBdr>
    </w:div>
    <w:div w:id="1111122380">
      <w:bodyDiv w:val="1"/>
      <w:marLeft w:val="0"/>
      <w:marRight w:val="0"/>
      <w:marTop w:val="0"/>
      <w:marBottom w:val="0"/>
      <w:divBdr>
        <w:top w:val="none" w:sz="0" w:space="0" w:color="auto"/>
        <w:left w:val="none" w:sz="0" w:space="0" w:color="auto"/>
        <w:bottom w:val="none" w:sz="0" w:space="0" w:color="auto"/>
        <w:right w:val="none" w:sz="0" w:space="0" w:color="auto"/>
      </w:divBdr>
    </w:div>
    <w:div w:id="1131823954">
      <w:bodyDiv w:val="1"/>
      <w:marLeft w:val="0"/>
      <w:marRight w:val="0"/>
      <w:marTop w:val="0"/>
      <w:marBottom w:val="0"/>
      <w:divBdr>
        <w:top w:val="none" w:sz="0" w:space="0" w:color="auto"/>
        <w:left w:val="none" w:sz="0" w:space="0" w:color="auto"/>
        <w:bottom w:val="none" w:sz="0" w:space="0" w:color="auto"/>
        <w:right w:val="none" w:sz="0" w:space="0" w:color="auto"/>
      </w:divBdr>
    </w:div>
    <w:div w:id="1134834024">
      <w:bodyDiv w:val="1"/>
      <w:marLeft w:val="0"/>
      <w:marRight w:val="0"/>
      <w:marTop w:val="0"/>
      <w:marBottom w:val="0"/>
      <w:divBdr>
        <w:top w:val="none" w:sz="0" w:space="0" w:color="auto"/>
        <w:left w:val="none" w:sz="0" w:space="0" w:color="auto"/>
        <w:bottom w:val="none" w:sz="0" w:space="0" w:color="auto"/>
        <w:right w:val="none" w:sz="0" w:space="0" w:color="auto"/>
      </w:divBdr>
    </w:div>
    <w:div w:id="1141770101">
      <w:bodyDiv w:val="1"/>
      <w:marLeft w:val="0"/>
      <w:marRight w:val="0"/>
      <w:marTop w:val="0"/>
      <w:marBottom w:val="0"/>
      <w:divBdr>
        <w:top w:val="none" w:sz="0" w:space="0" w:color="auto"/>
        <w:left w:val="none" w:sz="0" w:space="0" w:color="auto"/>
        <w:bottom w:val="none" w:sz="0" w:space="0" w:color="auto"/>
        <w:right w:val="none" w:sz="0" w:space="0" w:color="auto"/>
      </w:divBdr>
    </w:div>
    <w:div w:id="1144661205">
      <w:bodyDiv w:val="1"/>
      <w:marLeft w:val="0"/>
      <w:marRight w:val="0"/>
      <w:marTop w:val="0"/>
      <w:marBottom w:val="0"/>
      <w:divBdr>
        <w:top w:val="none" w:sz="0" w:space="0" w:color="auto"/>
        <w:left w:val="none" w:sz="0" w:space="0" w:color="auto"/>
        <w:bottom w:val="none" w:sz="0" w:space="0" w:color="auto"/>
        <w:right w:val="none" w:sz="0" w:space="0" w:color="auto"/>
      </w:divBdr>
    </w:div>
    <w:div w:id="1233809719">
      <w:bodyDiv w:val="1"/>
      <w:marLeft w:val="0"/>
      <w:marRight w:val="0"/>
      <w:marTop w:val="0"/>
      <w:marBottom w:val="0"/>
      <w:divBdr>
        <w:top w:val="none" w:sz="0" w:space="0" w:color="auto"/>
        <w:left w:val="none" w:sz="0" w:space="0" w:color="auto"/>
        <w:bottom w:val="none" w:sz="0" w:space="0" w:color="auto"/>
        <w:right w:val="none" w:sz="0" w:space="0" w:color="auto"/>
      </w:divBdr>
    </w:div>
    <w:div w:id="1299529734">
      <w:bodyDiv w:val="1"/>
      <w:marLeft w:val="0"/>
      <w:marRight w:val="0"/>
      <w:marTop w:val="0"/>
      <w:marBottom w:val="0"/>
      <w:divBdr>
        <w:top w:val="none" w:sz="0" w:space="0" w:color="auto"/>
        <w:left w:val="none" w:sz="0" w:space="0" w:color="auto"/>
        <w:bottom w:val="none" w:sz="0" w:space="0" w:color="auto"/>
        <w:right w:val="none" w:sz="0" w:space="0" w:color="auto"/>
      </w:divBdr>
    </w:div>
    <w:div w:id="1300959647">
      <w:bodyDiv w:val="1"/>
      <w:marLeft w:val="0"/>
      <w:marRight w:val="0"/>
      <w:marTop w:val="0"/>
      <w:marBottom w:val="0"/>
      <w:divBdr>
        <w:top w:val="none" w:sz="0" w:space="0" w:color="auto"/>
        <w:left w:val="none" w:sz="0" w:space="0" w:color="auto"/>
        <w:bottom w:val="none" w:sz="0" w:space="0" w:color="auto"/>
        <w:right w:val="none" w:sz="0" w:space="0" w:color="auto"/>
      </w:divBdr>
    </w:div>
    <w:div w:id="1322199546">
      <w:bodyDiv w:val="1"/>
      <w:marLeft w:val="0"/>
      <w:marRight w:val="0"/>
      <w:marTop w:val="0"/>
      <w:marBottom w:val="0"/>
      <w:divBdr>
        <w:top w:val="none" w:sz="0" w:space="0" w:color="auto"/>
        <w:left w:val="none" w:sz="0" w:space="0" w:color="auto"/>
        <w:bottom w:val="none" w:sz="0" w:space="0" w:color="auto"/>
        <w:right w:val="none" w:sz="0" w:space="0" w:color="auto"/>
      </w:divBdr>
    </w:div>
    <w:div w:id="1336688510">
      <w:bodyDiv w:val="1"/>
      <w:marLeft w:val="0"/>
      <w:marRight w:val="0"/>
      <w:marTop w:val="0"/>
      <w:marBottom w:val="0"/>
      <w:divBdr>
        <w:top w:val="none" w:sz="0" w:space="0" w:color="auto"/>
        <w:left w:val="none" w:sz="0" w:space="0" w:color="auto"/>
        <w:bottom w:val="none" w:sz="0" w:space="0" w:color="auto"/>
        <w:right w:val="none" w:sz="0" w:space="0" w:color="auto"/>
      </w:divBdr>
    </w:div>
    <w:div w:id="1364406747">
      <w:bodyDiv w:val="1"/>
      <w:marLeft w:val="0"/>
      <w:marRight w:val="0"/>
      <w:marTop w:val="0"/>
      <w:marBottom w:val="0"/>
      <w:divBdr>
        <w:top w:val="none" w:sz="0" w:space="0" w:color="auto"/>
        <w:left w:val="none" w:sz="0" w:space="0" w:color="auto"/>
        <w:bottom w:val="none" w:sz="0" w:space="0" w:color="auto"/>
        <w:right w:val="none" w:sz="0" w:space="0" w:color="auto"/>
      </w:divBdr>
    </w:div>
    <w:div w:id="1373310922">
      <w:bodyDiv w:val="1"/>
      <w:marLeft w:val="0"/>
      <w:marRight w:val="0"/>
      <w:marTop w:val="0"/>
      <w:marBottom w:val="0"/>
      <w:divBdr>
        <w:top w:val="none" w:sz="0" w:space="0" w:color="auto"/>
        <w:left w:val="none" w:sz="0" w:space="0" w:color="auto"/>
        <w:bottom w:val="none" w:sz="0" w:space="0" w:color="auto"/>
        <w:right w:val="none" w:sz="0" w:space="0" w:color="auto"/>
      </w:divBdr>
    </w:div>
    <w:div w:id="1379628056">
      <w:bodyDiv w:val="1"/>
      <w:marLeft w:val="0"/>
      <w:marRight w:val="0"/>
      <w:marTop w:val="0"/>
      <w:marBottom w:val="0"/>
      <w:divBdr>
        <w:top w:val="none" w:sz="0" w:space="0" w:color="auto"/>
        <w:left w:val="none" w:sz="0" w:space="0" w:color="auto"/>
        <w:bottom w:val="none" w:sz="0" w:space="0" w:color="auto"/>
        <w:right w:val="none" w:sz="0" w:space="0" w:color="auto"/>
      </w:divBdr>
    </w:div>
    <w:div w:id="1384018378">
      <w:bodyDiv w:val="1"/>
      <w:marLeft w:val="0"/>
      <w:marRight w:val="0"/>
      <w:marTop w:val="0"/>
      <w:marBottom w:val="0"/>
      <w:divBdr>
        <w:top w:val="none" w:sz="0" w:space="0" w:color="auto"/>
        <w:left w:val="none" w:sz="0" w:space="0" w:color="auto"/>
        <w:bottom w:val="none" w:sz="0" w:space="0" w:color="auto"/>
        <w:right w:val="none" w:sz="0" w:space="0" w:color="auto"/>
      </w:divBdr>
    </w:div>
    <w:div w:id="1391078764">
      <w:bodyDiv w:val="1"/>
      <w:marLeft w:val="0"/>
      <w:marRight w:val="0"/>
      <w:marTop w:val="0"/>
      <w:marBottom w:val="0"/>
      <w:divBdr>
        <w:top w:val="none" w:sz="0" w:space="0" w:color="auto"/>
        <w:left w:val="none" w:sz="0" w:space="0" w:color="auto"/>
        <w:bottom w:val="none" w:sz="0" w:space="0" w:color="auto"/>
        <w:right w:val="none" w:sz="0" w:space="0" w:color="auto"/>
      </w:divBdr>
    </w:div>
    <w:div w:id="1392849347">
      <w:bodyDiv w:val="1"/>
      <w:marLeft w:val="0"/>
      <w:marRight w:val="0"/>
      <w:marTop w:val="0"/>
      <w:marBottom w:val="0"/>
      <w:divBdr>
        <w:top w:val="none" w:sz="0" w:space="0" w:color="auto"/>
        <w:left w:val="none" w:sz="0" w:space="0" w:color="auto"/>
        <w:bottom w:val="none" w:sz="0" w:space="0" w:color="auto"/>
        <w:right w:val="none" w:sz="0" w:space="0" w:color="auto"/>
      </w:divBdr>
    </w:div>
    <w:div w:id="1427772233">
      <w:bodyDiv w:val="1"/>
      <w:marLeft w:val="0"/>
      <w:marRight w:val="0"/>
      <w:marTop w:val="0"/>
      <w:marBottom w:val="0"/>
      <w:divBdr>
        <w:top w:val="none" w:sz="0" w:space="0" w:color="auto"/>
        <w:left w:val="none" w:sz="0" w:space="0" w:color="auto"/>
        <w:bottom w:val="none" w:sz="0" w:space="0" w:color="auto"/>
        <w:right w:val="none" w:sz="0" w:space="0" w:color="auto"/>
      </w:divBdr>
    </w:div>
    <w:div w:id="1428578689">
      <w:bodyDiv w:val="1"/>
      <w:marLeft w:val="0"/>
      <w:marRight w:val="0"/>
      <w:marTop w:val="0"/>
      <w:marBottom w:val="0"/>
      <w:divBdr>
        <w:top w:val="none" w:sz="0" w:space="0" w:color="auto"/>
        <w:left w:val="none" w:sz="0" w:space="0" w:color="auto"/>
        <w:bottom w:val="none" w:sz="0" w:space="0" w:color="auto"/>
        <w:right w:val="none" w:sz="0" w:space="0" w:color="auto"/>
      </w:divBdr>
    </w:div>
    <w:div w:id="1429350280">
      <w:bodyDiv w:val="1"/>
      <w:marLeft w:val="0"/>
      <w:marRight w:val="0"/>
      <w:marTop w:val="0"/>
      <w:marBottom w:val="0"/>
      <w:divBdr>
        <w:top w:val="none" w:sz="0" w:space="0" w:color="auto"/>
        <w:left w:val="none" w:sz="0" w:space="0" w:color="auto"/>
        <w:bottom w:val="none" w:sz="0" w:space="0" w:color="auto"/>
        <w:right w:val="none" w:sz="0" w:space="0" w:color="auto"/>
      </w:divBdr>
    </w:div>
    <w:div w:id="1442526360">
      <w:bodyDiv w:val="1"/>
      <w:marLeft w:val="0"/>
      <w:marRight w:val="0"/>
      <w:marTop w:val="0"/>
      <w:marBottom w:val="0"/>
      <w:divBdr>
        <w:top w:val="none" w:sz="0" w:space="0" w:color="auto"/>
        <w:left w:val="none" w:sz="0" w:space="0" w:color="auto"/>
        <w:bottom w:val="none" w:sz="0" w:space="0" w:color="auto"/>
        <w:right w:val="none" w:sz="0" w:space="0" w:color="auto"/>
      </w:divBdr>
    </w:div>
    <w:div w:id="1445272885">
      <w:bodyDiv w:val="1"/>
      <w:marLeft w:val="0"/>
      <w:marRight w:val="0"/>
      <w:marTop w:val="0"/>
      <w:marBottom w:val="0"/>
      <w:divBdr>
        <w:top w:val="none" w:sz="0" w:space="0" w:color="auto"/>
        <w:left w:val="none" w:sz="0" w:space="0" w:color="auto"/>
        <w:bottom w:val="none" w:sz="0" w:space="0" w:color="auto"/>
        <w:right w:val="none" w:sz="0" w:space="0" w:color="auto"/>
      </w:divBdr>
    </w:div>
    <w:div w:id="1468626931">
      <w:bodyDiv w:val="1"/>
      <w:marLeft w:val="0"/>
      <w:marRight w:val="0"/>
      <w:marTop w:val="0"/>
      <w:marBottom w:val="0"/>
      <w:divBdr>
        <w:top w:val="none" w:sz="0" w:space="0" w:color="auto"/>
        <w:left w:val="none" w:sz="0" w:space="0" w:color="auto"/>
        <w:bottom w:val="none" w:sz="0" w:space="0" w:color="auto"/>
        <w:right w:val="none" w:sz="0" w:space="0" w:color="auto"/>
      </w:divBdr>
    </w:div>
    <w:div w:id="1500189901">
      <w:bodyDiv w:val="1"/>
      <w:marLeft w:val="0"/>
      <w:marRight w:val="0"/>
      <w:marTop w:val="0"/>
      <w:marBottom w:val="0"/>
      <w:divBdr>
        <w:top w:val="none" w:sz="0" w:space="0" w:color="auto"/>
        <w:left w:val="none" w:sz="0" w:space="0" w:color="auto"/>
        <w:bottom w:val="none" w:sz="0" w:space="0" w:color="auto"/>
        <w:right w:val="none" w:sz="0" w:space="0" w:color="auto"/>
      </w:divBdr>
    </w:div>
    <w:div w:id="1528562784">
      <w:bodyDiv w:val="1"/>
      <w:marLeft w:val="0"/>
      <w:marRight w:val="0"/>
      <w:marTop w:val="0"/>
      <w:marBottom w:val="0"/>
      <w:divBdr>
        <w:top w:val="none" w:sz="0" w:space="0" w:color="auto"/>
        <w:left w:val="none" w:sz="0" w:space="0" w:color="auto"/>
        <w:bottom w:val="none" w:sz="0" w:space="0" w:color="auto"/>
        <w:right w:val="none" w:sz="0" w:space="0" w:color="auto"/>
      </w:divBdr>
    </w:div>
    <w:div w:id="1531608830">
      <w:bodyDiv w:val="1"/>
      <w:marLeft w:val="0"/>
      <w:marRight w:val="0"/>
      <w:marTop w:val="0"/>
      <w:marBottom w:val="0"/>
      <w:divBdr>
        <w:top w:val="none" w:sz="0" w:space="0" w:color="auto"/>
        <w:left w:val="none" w:sz="0" w:space="0" w:color="auto"/>
        <w:bottom w:val="none" w:sz="0" w:space="0" w:color="auto"/>
        <w:right w:val="none" w:sz="0" w:space="0" w:color="auto"/>
      </w:divBdr>
    </w:div>
    <w:div w:id="1549949327">
      <w:bodyDiv w:val="1"/>
      <w:marLeft w:val="0"/>
      <w:marRight w:val="0"/>
      <w:marTop w:val="0"/>
      <w:marBottom w:val="0"/>
      <w:divBdr>
        <w:top w:val="none" w:sz="0" w:space="0" w:color="auto"/>
        <w:left w:val="none" w:sz="0" w:space="0" w:color="auto"/>
        <w:bottom w:val="none" w:sz="0" w:space="0" w:color="auto"/>
        <w:right w:val="none" w:sz="0" w:space="0" w:color="auto"/>
      </w:divBdr>
    </w:div>
    <w:div w:id="1586572557">
      <w:bodyDiv w:val="1"/>
      <w:marLeft w:val="0"/>
      <w:marRight w:val="0"/>
      <w:marTop w:val="0"/>
      <w:marBottom w:val="0"/>
      <w:divBdr>
        <w:top w:val="none" w:sz="0" w:space="0" w:color="auto"/>
        <w:left w:val="none" w:sz="0" w:space="0" w:color="auto"/>
        <w:bottom w:val="none" w:sz="0" w:space="0" w:color="auto"/>
        <w:right w:val="none" w:sz="0" w:space="0" w:color="auto"/>
      </w:divBdr>
    </w:div>
    <w:div w:id="1591962661">
      <w:bodyDiv w:val="1"/>
      <w:marLeft w:val="0"/>
      <w:marRight w:val="0"/>
      <w:marTop w:val="0"/>
      <w:marBottom w:val="0"/>
      <w:divBdr>
        <w:top w:val="none" w:sz="0" w:space="0" w:color="auto"/>
        <w:left w:val="none" w:sz="0" w:space="0" w:color="auto"/>
        <w:bottom w:val="none" w:sz="0" w:space="0" w:color="auto"/>
        <w:right w:val="none" w:sz="0" w:space="0" w:color="auto"/>
      </w:divBdr>
    </w:div>
    <w:div w:id="1594313747">
      <w:bodyDiv w:val="1"/>
      <w:marLeft w:val="0"/>
      <w:marRight w:val="0"/>
      <w:marTop w:val="0"/>
      <w:marBottom w:val="0"/>
      <w:divBdr>
        <w:top w:val="none" w:sz="0" w:space="0" w:color="auto"/>
        <w:left w:val="none" w:sz="0" w:space="0" w:color="auto"/>
        <w:bottom w:val="none" w:sz="0" w:space="0" w:color="auto"/>
        <w:right w:val="none" w:sz="0" w:space="0" w:color="auto"/>
      </w:divBdr>
    </w:div>
    <w:div w:id="1624921335">
      <w:bodyDiv w:val="1"/>
      <w:marLeft w:val="0"/>
      <w:marRight w:val="0"/>
      <w:marTop w:val="0"/>
      <w:marBottom w:val="0"/>
      <w:divBdr>
        <w:top w:val="none" w:sz="0" w:space="0" w:color="auto"/>
        <w:left w:val="none" w:sz="0" w:space="0" w:color="auto"/>
        <w:bottom w:val="none" w:sz="0" w:space="0" w:color="auto"/>
        <w:right w:val="none" w:sz="0" w:space="0" w:color="auto"/>
      </w:divBdr>
    </w:div>
    <w:div w:id="1648168802">
      <w:bodyDiv w:val="1"/>
      <w:marLeft w:val="0"/>
      <w:marRight w:val="0"/>
      <w:marTop w:val="0"/>
      <w:marBottom w:val="0"/>
      <w:divBdr>
        <w:top w:val="none" w:sz="0" w:space="0" w:color="auto"/>
        <w:left w:val="none" w:sz="0" w:space="0" w:color="auto"/>
        <w:bottom w:val="none" w:sz="0" w:space="0" w:color="auto"/>
        <w:right w:val="none" w:sz="0" w:space="0" w:color="auto"/>
      </w:divBdr>
    </w:div>
    <w:div w:id="1667244572">
      <w:bodyDiv w:val="1"/>
      <w:marLeft w:val="0"/>
      <w:marRight w:val="0"/>
      <w:marTop w:val="0"/>
      <w:marBottom w:val="0"/>
      <w:divBdr>
        <w:top w:val="none" w:sz="0" w:space="0" w:color="auto"/>
        <w:left w:val="none" w:sz="0" w:space="0" w:color="auto"/>
        <w:bottom w:val="none" w:sz="0" w:space="0" w:color="auto"/>
        <w:right w:val="none" w:sz="0" w:space="0" w:color="auto"/>
      </w:divBdr>
    </w:div>
    <w:div w:id="1672105006">
      <w:bodyDiv w:val="1"/>
      <w:marLeft w:val="0"/>
      <w:marRight w:val="0"/>
      <w:marTop w:val="0"/>
      <w:marBottom w:val="0"/>
      <w:divBdr>
        <w:top w:val="none" w:sz="0" w:space="0" w:color="auto"/>
        <w:left w:val="none" w:sz="0" w:space="0" w:color="auto"/>
        <w:bottom w:val="none" w:sz="0" w:space="0" w:color="auto"/>
        <w:right w:val="none" w:sz="0" w:space="0" w:color="auto"/>
      </w:divBdr>
    </w:div>
    <w:div w:id="1679842056">
      <w:bodyDiv w:val="1"/>
      <w:marLeft w:val="0"/>
      <w:marRight w:val="0"/>
      <w:marTop w:val="0"/>
      <w:marBottom w:val="0"/>
      <w:divBdr>
        <w:top w:val="none" w:sz="0" w:space="0" w:color="auto"/>
        <w:left w:val="none" w:sz="0" w:space="0" w:color="auto"/>
        <w:bottom w:val="none" w:sz="0" w:space="0" w:color="auto"/>
        <w:right w:val="none" w:sz="0" w:space="0" w:color="auto"/>
      </w:divBdr>
    </w:div>
    <w:div w:id="1703507784">
      <w:bodyDiv w:val="1"/>
      <w:marLeft w:val="0"/>
      <w:marRight w:val="0"/>
      <w:marTop w:val="0"/>
      <w:marBottom w:val="0"/>
      <w:divBdr>
        <w:top w:val="none" w:sz="0" w:space="0" w:color="auto"/>
        <w:left w:val="none" w:sz="0" w:space="0" w:color="auto"/>
        <w:bottom w:val="none" w:sz="0" w:space="0" w:color="auto"/>
        <w:right w:val="none" w:sz="0" w:space="0" w:color="auto"/>
      </w:divBdr>
    </w:div>
    <w:div w:id="1806390497">
      <w:bodyDiv w:val="1"/>
      <w:marLeft w:val="0"/>
      <w:marRight w:val="0"/>
      <w:marTop w:val="0"/>
      <w:marBottom w:val="0"/>
      <w:divBdr>
        <w:top w:val="none" w:sz="0" w:space="0" w:color="auto"/>
        <w:left w:val="none" w:sz="0" w:space="0" w:color="auto"/>
        <w:bottom w:val="none" w:sz="0" w:space="0" w:color="auto"/>
        <w:right w:val="none" w:sz="0" w:space="0" w:color="auto"/>
      </w:divBdr>
    </w:div>
    <w:div w:id="1858732871">
      <w:bodyDiv w:val="1"/>
      <w:marLeft w:val="0"/>
      <w:marRight w:val="0"/>
      <w:marTop w:val="0"/>
      <w:marBottom w:val="0"/>
      <w:divBdr>
        <w:top w:val="none" w:sz="0" w:space="0" w:color="auto"/>
        <w:left w:val="none" w:sz="0" w:space="0" w:color="auto"/>
        <w:bottom w:val="none" w:sz="0" w:space="0" w:color="auto"/>
        <w:right w:val="none" w:sz="0" w:space="0" w:color="auto"/>
      </w:divBdr>
    </w:div>
    <w:div w:id="1946812834">
      <w:bodyDiv w:val="1"/>
      <w:marLeft w:val="0"/>
      <w:marRight w:val="0"/>
      <w:marTop w:val="0"/>
      <w:marBottom w:val="0"/>
      <w:divBdr>
        <w:top w:val="none" w:sz="0" w:space="0" w:color="auto"/>
        <w:left w:val="none" w:sz="0" w:space="0" w:color="auto"/>
        <w:bottom w:val="none" w:sz="0" w:space="0" w:color="auto"/>
        <w:right w:val="none" w:sz="0" w:space="0" w:color="auto"/>
      </w:divBdr>
    </w:div>
    <w:div w:id="1973637657">
      <w:bodyDiv w:val="1"/>
      <w:marLeft w:val="0"/>
      <w:marRight w:val="0"/>
      <w:marTop w:val="0"/>
      <w:marBottom w:val="0"/>
      <w:divBdr>
        <w:top w:val="none" w:sz="0" w:space="0" w:color="auto"/>
        <w:left w:val="none" w:sz="0" w:space="0" w:color="auto"/>
        <w:bottom w:val="none" w:sz="0" w:space="0" w:color="auto"/>
        <w:right w:val="none" w:sz="0" w:space="0" w:color="auto"/>
      </w:divBdr>
    </w:div>
    <w:div w:id="2007247306">
      <w:bodyDiv w:val="1"/>
      <w:marLeft w:val="0"/>
      <w:marRight w:val="0"/>
      <w:marTop w:val="0"/>
      <w:marBottom w:val="0"/>
      <w:divBdr>
        <w:top w:val="none" w:sz="0" w:space="0" w:color="auto"/>
        <w:left w:val="none" w:sz="0" w:space="0" w:color="auto"/>
        <w:bottom w:val="none" w:sz="0" w:space="0" w:color="auto"/>
        <w:right w:val="none" w:sz="0" w:space="0" w:color="auto"/>
      </w:divBdr>
    </w:div>
    <w:div w:id="2021538054">
      <w:bodyDiv w:val="1"/>
      <w:marLeft w:val="0"/>
      <w:marRight w:val="0"/>
      <w:marTop w:val="0"/>
      <w:marBottom w:val="0"/>
      <w:divBdr>
        <w:top w:val="none" w:sz="0" w:space="0" w:color="auto"/>
        <w:left w:val="none" w:sz="0" w:space="0" w:color="auto"/>
        <w:bottom w:val="none" w:sz="0" w:space="0" w:color="auto"/>
        <w:right w:val="none" w:sz="0" w:space="0" w:color="auto"/>
      </w:divBdr>
    </w:div>
    <w:div w:id="2036419685">
      <w:bodyDiv w:val="1"/>
      <w:marLeft w:val="0"/>
      <w:marRight w:val="0"/>
      <w:marTop w:val="0"/>
      <w:marBottom w:val="0"/>
      <w:divBdr>
        <w:top w:val="none" w:sz="0" w:space="0" w:color="auto"/>
        <w:left w:val="none" w:sz="0" w:space="0" w:color="auto"/>
        <w:bottom w:val="none" w:sz="0" w:space="0" w:color="auto"/>
        <w:right w:val="none" w:sz="0" w:space="0" w:color="auto"/>
      </w:divBdr>
    </w:div>
    <w:div w:id="2037148906">
      <w:bodyDiv w:val="1"/>
      <w:marLeft w:val="0"/>
      <w:marRight w:val="0"/>
      <w:marTop w:val="0"/>
      <w:marBottom w:val="0"/>
      <w:divBdr>
        <w:top w:val="none" w:sz="0" w:space="0" w:color="auto"/>
        <w:left w:val="none" w:sz="0" w:space="0" w:color="auto"/>
        <w:bottom w:val="none" w:sz="0" w:space="0" w:color="auto"/>
        <w:right w:val="none" w:sz="0" w:space="0" w:color="auto"/>
      </w:divBdr>
    </w:div>
    <w:div w:id="2087457376">
      <w:bodyDiv w:val="1"/>
      <w:marLeft w:val="0"/>
      <w:marRight w:val="0"/>
      <w:marTop w:val="0"/>
      <w:marBottom w:val="0"/>
      <w:divBdr>
        <w:top w:val="none" w:sz="0" w:space="0" w:color="auto"/>
        <w:left w:val="none" w:sz="0" w:space="0" w:color="auto"/>
        <w:bottom w:val="none" w:sz="0" w:space="0" w:color="auto"/>
        <w:right w:val="none" w:sz="0" w:space="0" w:color="auto"/>
      </w:divBdr>
    </w:div>
    <w:div w:id="2110083291">
      <w:bodyDiv w:val="1"/>
      <w:marLeft w:val="0"/>
      <w:marRight w:val="0"/>
      <w:marTop w:val="0"/>
      <w:marBottom w:val="0"/>
      <w:divBdr>
        <w:top w:val="none" w:sz="0" w:space="0" w:color="auto"/>
        <w:left w:val="none" w:sz="0" w:space="0" w:color="auto"/>
        <w:bottom w:val="none" w:sz="0" w:space="0" w:color="auto"/>
        <w:right w:val="none" w:sz="0" w:space="0" w:color="auto"/>
      </w:divBdr>
    </w:div>
    <w:div w:id="2130051538">
      <w:bodyDiv w:val="1"/>
      <w:marLeft w:val="0"/>
      <w:marRight w:val="0"/>
      <w:marTop w:val="0"/>
      <w:marBottom w:val="0"/>
      <w:divBdr>
        <w:top w:val="none" w:sz="0" w:space="0" w:color="auto"/>
        <w:left w:val="none" w:sz="0" w:space="0" w:color="auto"/>
        <w:bottom w:val="none" w:sz="0" w:space="0" w:color="auto"/>
        <w:right w:val="none" w:sz="0" w:space="0" w:color="auto"/>
      </w:divBdr>
    </w:div>
    <w:div w:id="2131195013">
      <w:bodyDiv w:val="1"/>
      <w:marLeft w:val="0"/>
      <w:marRight w:val="0"/>
      <w:marTop w:val="0"/>
      <w:marBottom w:val="0"/>
      <w:divBdr>
        <w:top w:val="none" w:sz="0" w:space="0" w:color="auto"/>
        <w:left w:val="none" w:sz="0" w:space="0" w:color="auto"/>
        <w:bottom w:val="none" w:sz="0" w:space="0" w:color="auto"/>
        <w:right w:val="none" w:sz="0" w:space="0" w:color="auto"/>
      </w:divBdr>
    </w:div>
    <w:div w:id="213309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8.png"/><Relationship Id="rId22" Type="http://schemas.openxmlformats.org/officeDocument/2006/relationships/customXml" Target="../customXml/item4.xml"/></Relationships>
</file>

<file path=word/_rels/head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73806C7EB0869140AD3F643CB4E14F0F" ma:contentTypeVersion="13" ma:contentTypeDescription="Crear nuevo documento." ma:contentTypeScope="" ma:versionID="f8c99207662dbee2025274dda89f1895">
  <xsd:schema xmlns:xsd="http://www.w3.org/2001/XMLSchema" xmlns:xs="http://www.w3.org/2001/XMLSchema" xmlns:p="http://schemas.microsoft.com/office/2006/metadata/properties" xmlns:ns2="0363528f-591f-4b1b-b99d-f770e394f926" xmlns:ns3="734438b8-929d-4e06-924b-b1bb22a04675" targetNamespace="http://schemas.microsoft.com/office/2006/metadata/properties" ma:root="true" ma:fieldsID="97a25c33f5529ad74b0a4746232e3782" ns2:_="" ns3:_="">
    <xsd:import namespace="0363528f-591f-4b1b-b99d-f770e394f926"/>
    <xsd:import namespace="734438b8-929d-4e06-924b-b1bb22a0467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3528f-591f-4b1b-b99d-f770e394f9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4438b8-929d-4e06-924b-b1bb22a04675"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883D6BD-7020-4B17-8073-6F2DA7B1A35F}">
  <ds:schemaRefs>
    <ds:schemaRef ds:uri="http://schemas.openxmlformats.org/officeDocument/2006/bibliography"/>
  </ds:schemaRefs>
</ds:datastoreItem>
</file>

<file path=customXml/itemProps2.xml><?xml version="1.0" encoding="utf-8"?>
<ds:datastoreItem xmlns:ds="http://schemas.openxmlformats.org/officeDocument/2006/customXml" ds:itemID="{CFAF7C57-9ED9-42E5-9F5E-EFE254617562}"/>
</file>

<file path=customXml/itemProps3.xml><?xml version="1.0" encoding="utf-8"?>
<ds:datastoreItem xmlns:ds="http://schemas.openxmlformats.org/officeDocument/2006/customXml" ds:itemID="{EC59794B-0C20-438F-AE0B-8242AC09BF4C}"/>
</file>

<file path=customXml/itemProps4.xml><?xml version="1.0" encoding="utf-8"?>
<ds:datastoreItem xmlns:ds="http://schemas.openxmlformats.org/officeDocument/2006/customXml" ds:itemID="{B261D001-38A9-4081-90E5-2FCD7FE1DD55}"/>
</file>

<file path=docProps/app.xml><?xml version="1.0" encoding="utf-8"?>
<Properties xmlns="http://schemas.openxmlformats.org/officeDocument/2006/extended-properties" xmlns:vt="http://schemas.openxmlformats.org/officeDocument/2006/docPropsVTypes">
  <Template>Normal</Template>
  <TotalTime>4606</TotalTime>
  <Pages>181</Pages>
  <Words>57152</Words>
  <Characters>314336</Characters>
  <Application>Microsoft Office Word</Application>
  <DocSecurity>0</DocSecurity>
  <Lines>2619</Lines>
  <Paragraphs>741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Velandia</dc:creator>
  <cp:keywords/>
  <dc:description/>
  <cp:lastModifiedBy>natalia</cp:lastModifiedBy>
  <cp:revision>925</cp:revision>
  <cp:lastPrinted>2020-11-21T21:48:00Z</cp:lastPrinted>
  <dcterms:created xsi:type="dcterms:W3CDTF">2020-11-21T16:22:00Z</dcterms:created>
  <dcterms:modified xsi:type="dcterms:W3CDTF">2021-10-28T23:49:00Z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0x01010073806C7EB0869140AD3F643CB4E14F0F</vt:lpwstr>
  </property>
</Properties>
</file>